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FA297" w14:textId="77777777" w:rsidR="00A77B3E" w:rsidRDefault="008B0C2C">
      <w:pPr>
        <w:bidi/>
        <w:spacing w:line="360" w:lineRule="auto"/>
        <w:jc w:val="lowKashida"/>
        <w:rPr>
          <w:rFonts w:cs="Microsoft Uighur"/>
          <w:szCs w:val="28"/>
          <w:rtl/>
        </w:rPr>
      </w:pPr>
      <w:r>
        <w:rPr>
          <w:rFonts w:cs="Microsoft Uighur"/>
          <w:szCs w:val="28"/>
          <w:rtl/>
        </w:rPr>
        <w:t xml:space="preserve">ملف العدد  </w:t>
      </w:r>
    </w:p>
    <w:p w14:paraId="3D3D3A52" w14:textId="77777777" w:rsidR="00A77B3E" w:rsidRDefault="008B0C2C">
      <w:pPr>
        <w:bidi/>
        <w:spacing w:line="360" w:lineRule="auto"/>
        <w:jc w:val="lowKashida"/>
        <w:rPr>
          <w:rFonts w:cs="Microsoft Uighur"/>
          <w:szCs w:val="28"/>
          <w:rtl/>
        </w:rPr>
      </w:pPr>
      <w:r>
        <w:rPr>
          <w:rFonts w:cs="Microsoft Uighur"/>
          <w:szCs w:val="28"/>
          <w:rtl/>
        </w:rPr>
        <w:t xml:space="preserve">نظرية بناء القانون على روح الشريعة  </w:t>
      </w:r>
    </w:p>
    <w:p w14:paraId="70F32FDB" w14:textId="77777777" w:rsidR="00A77B3E" w:rsidRDefault="008B0C2C">
      <w:pPr>
        <w:bidi/>
        <w:spacing w:line="360" w:lineRule="auto"/>
        <w:jc w:val="lowKashida"/>
        <w:rPr>
          <w:rFonts w:cs="Microsoft Uighur"/>
          <w:szCs w:val="28"/>
          <w:rtl/>
        </w:rPr>
      </w:pPr>
      <w:r>
        <w:rPr>
          <w:rFonts w:cs="Microsoft Uighur"/>
          <w:szCs w:val="28"/>
          <w:rtl/>
        </w:rPr>
        <w:t xml:space="preserve">الشيخ أحمد المبلغي  </w:t>
      </w:r>
    </w:p>
    <w:p w14:paraId="3C7FDD1E" w14:textId="77777777" w:rsidR="00A77B3E" w:rsidRDefault="008B0C2C">
      <w:pPr>
        <w:bidi/>
        <w:spacing w:line="360" w:lineRule="auto"/>
        <w:jc w:val="lowKashida"/>
        <w:rPr>
          <w:rFonts w:cs="Microsoft Uighur"/>
          <w:szCs w:val="28"/>
          <w:rtl/>
        </w:rPr>
      </w:pPr>
      <w:r>
        <w:rPr>
          <w:rFonts w:cs="Microsoft Uighur"/>
          <w:szCs w:val="28"/>
          <w:rtl/>
        </w:rPr>
        <w:t xml:space="preserve">ثمة بحث اكتسب أهمية خاصة في السنوات الأخيرة بين الفقهاء ورجال  القانون ويتعلق بتحديد العلاقة القائمة بين الفقه والقانون.  </w:t>
      </w:r>
    </w:p>
    <w:p w14:paraId="1052ABC8" w14:textId="77777777" w:rsidR="00A77B3E" w:rsidRDefault="008B0C2C">
      <w:pPr>
        <w:bidi/>
        <w:spacing w:line="360" w:lineRule="auto"/>
        <w:jc w:val="lowKashida"/>
        <w:rPr>
          <w:rFonts w:cs="Microsoft Uighur"/>
          <w:szCs w:val="28"/>
          <w:rtl/>
        </w:rPr>
      </w:pPr>
      <w:r>
        <w:rPr>
          <w:rFonts w:cs="Microsoft Uighur"/>
          <w:szCs w:val="28"/>
          <w:rtl/>
        </w:rPr>
        <w:t xml:space="preserve">في ظل هذا الاهتمام، سنحاول مناقشة هذا الموضوع ضمن محورين اثنين  </w:t>
      </w:r>
    </w:p>
    <w:p w14:paraId="4E94D000" w14:textId="77777777" w:rsidR="00A77B3E" w:rsidRDefault="008B0C2C">
      <w:pPr>
        <w:bidi/>
        <w:spacing w:line="360" w:lineRule="auto"/>
        <w:jc w:val="lowKashida"/>
        <w:rPr>
          <w:rFonts w:cs="Microsoft Uighur"/>
          <w:szCs w:val="28"/>
          <w:rtl/>
        </w:rPr>
      </w:pPr>
      <w:r>
        <w:rPr>
          <w:rFonts w:cs="Microsoft Uighur"/>
          <w:szCs w:val="28"/>
          <w:rtl/>
        </w:rPr>
        <w:t xml:space="preserve">أحدهما: أهم الافتراضات في مجال العلاقة بين الفقه والقانون  </w:t>
      </w:r>
    </w:p>
    <w:p w14:paraId="3DFC809E" w14:textId="77777777" w:rsidR="00A77B3E" w:rsidRDefault="008B0C2C">
      <w:pPr>
        <w:bidi/>
        <w:spacing w:line="360" w:lineRule="auto"/>
        <w:jc w:val="lowKashida"/>
        <w:rPr>
          <w:rFonts w:cs="Microsoft Uighur"/>
          <w:szCs w:val="28"/>
          <w:rtl/>
        </w:rPr>
      </w:pPr>
      <w:r>
        <w:rPr>
          <w:rFonts w:cs="Microsoft Uighur"/>
          <w:szCs w:val="28"/>
          <w:rtl/>
        </w:rPr>
        <w:t>والآخر م</w:t>
      </w:r>
      <w:r>
        <w:rPr>
          <w:rFonts w:cs="Microsoft Uighur"/>
          <w:szCs w:val="28"/>
          <w:rtl/>
        </w:rPr>
        <w:t xml:space="preserve">حاولة تأسيس نظرية بناء القانون على روح الشريعة  </w:t>
      </w:r>
    </w:p>
    <w:p w14:paraId="1ADF0777" w14:textId="77777777" w:rsidR="00A77B3E" w:rsidRDefault="008B0C2C">
      <w:pPr>
        <w:bidi/>
        <w:spacing w:line="360" w:lineRule="auto"/>
        <w:jc w:val="lowKashida"/>
        <w:rPr>
          <w:rFonts w:cs="Microsoft Uighur"/>
          <w:szCs w:val="28"/>
          <w:rtl/>
        </w:rPr>
      </w:pPr>
      <w:r>
        <w:rPr>
          <w:rFonts w:cs="Microsoft Uighur"/>
          <w:szCs w:val="28"/>
          <w:rtl/>
        </w:rPr>
        <w:t xml:space="preserve">فيما يلي عرض للبحث حول هذين المحورين  </w:t>
      </w:r>
    </w:p>
    <w:p w14:paraId="792E2071" w14:textId="77777777" w:rsidR="00A77B3E" w:rsidRDefault="008B0C2C">
      <w:pPr>
        <w:bidi/>
        <w:spacing w:line="360" w:lineRule="auto"/>
        <w:jc w:val="lowKashida"/>
        <w:rPr>
          <w:rFonts w:cs="Microsoft Uighur"/>
          <w:szCs w:val="28"/>
          <w:rtl/>
        </w:rPr>
      </w:pPr>
      <w:r>
        <w:rPr>
          <w:rFonts w:cs="Microsoft Uighur"/>
          <w:szCs w:val="28"/>
          <w:rtl/>
        </w:rPr>
        <w:t xml:space="preserve">المحور الأول: أهم الافتراضات في مجال العلاقة بين الفقه والقانون:  </w:t>
      </w:r>
    </w:p>
    <w:p w14:paraId="799F8270" w14:textId="77777777" w:rsidR="00A77B3E" w:rsidRDefault="008B0C2C">
      <w:pPr>
        <w:bidi/>
        <w:spacing w:line="360" w:lineRule="auto"/>
        <w:jc w:val="lowKashida"/>
        <w:rPr>
          <w:rFonts w:cs="Microsoft Uighur"/>
          <w:szCs w:val="28"/>
          <w:rtl/>
        </w:rPr>
      </w:pPr>
      <w:r>
        <w:rPr>
          <w:rFonts w:cs="Microsoft Uighur"/>
          <w:szCs w:val="28"/>
          <w:rtl/>
        </w:rPr>
        <w:t xml:space="preserve">السؤال المهم هنا ما هي العلاقة التي يجب أن تكون بين الفقه والقانون؟ هناك  </w:t>
      </w:r>
    </w:p>
    <w:p w14:paraId="775BF866" w14:textId="77777777" w:rsidR="00A77B3E" w:rsidRDefault="008B0C2C">
      <w:pPr>
        <w:bidi/>
        <w:spacing w:line="360" w:lineRule="auto"/>
        <w:jc w:val="lowKashida"/>
        <w:rPr>
          <w:rFonts w:cs="Microsoft Uighur"/>
          <w:szCs w:val="28"/>
          <w:rtl/>
        </w:rPr>
      </w:pPr>
      <w:r>
        <w:rPr>
          <w:rFonts w:cs="Microsoft Uighur"/>
          <w:szCs w:val="28"/>
          <w:rtl/>
        </w:rPr>
        <w:t xml:space="preserve">افتراضات نذكرها كالآتي:  </w:t>
      </w:r>
    </w:p>
    <w:p w14:paraId="1E5548AF" w14:textId="77777777" w:rsidR="00A77B3E" w:rsidRDefault="008B0C2C">
      <w:pPr>
        <w:bidi/>
        <w:spacing w:line="360" w:lineRule="auto"/>
        <w:jc w:val="lowKashida"/>
        <w:rPr>
          <w:rFonts w:cs="Microsoft Uighur"/>
          <w:szCs w:val="28"/>
          <w:rtl/>
        </w:rPr>
      </w:pPr>
      <w:r>
        <w:rPr>
          <w:rFonts w:cs="Microsoft Uighur"/>
          <w:szCs w:val="28"/>
          <w:rtl/>
        </w:rPr>
        <w:t xml:space="preserve">(1) كون العلاقة وعائية  </w:t>
      </w:r>
    </w:p>
    <w:p w14:paraId="48D21D24" w14:textId="77777777" w:rsidR="00A77B3E" w:rsidRDefault="008B0C2C">
      <w:pPr>
        <w:bidi/>
        <w:spacing w:line="360" w:lineRule="auto"/>
        <w:jc w:val="lowKashida"/>
        <w:rPr>
          <w:rFonts w:cs="Microsoft Uighur"/>
          <w:szCs w:val="28"/>
          <w:rtl/>
        </w:rPr>
      </w:pPr>
      <w:r>
        <w:rPr>
          <w:rFonts w:cs="Microsoft Uighur"/>
          <w:szCs w:val="28"/>
          <w:rtl/>
        </w:rPr>
        <w:t>وهذا يعنى أن الفقه إذا ما أراد أن يظهر بحقيقته الحقوقية، ويدخل في أوساط  المجتمع بجوانبه الإلزامية، فهو بحاجة إلى القالب الذي يستوعبه ويحكى شكله، وهذا  القالب ليس إلا القانون، فالقانون - وفق هذا الافتراض - لا يعدو عن كونه وعاء وقال</w:t>
      </w:r>
      <w:r>
        <w:rPr>
          <w:rFonts w:cs="Microsoft Uighur"/>
          <w:szCs w:val="28"/>
          <w:rtl/>
        </w:rPr>
        <w:t xml:space="preserve">باً  يُصب فيه الفقه.  </w:t>
      </w:r>
    </w:p>
    <w:p w14:paraId="3FB4D76D" w14:textId="77777777" w:rsidR="00A77B3E" w:rsidRDefault="008B0C2C">
      <w:pPr>
        <w:bidi/>
        <w:spacing w:line="360" w:lineRule="auto"/>
        <w:jc w:val="lowKashida"/>
        <w:rPr>
          <w:rFonts w:cs="Microsoft Uighur"/>
          <w:szCs w:val="28"/>
          <w:rtl/>
        </w:rPr>
      </w:pPr>
      <w:r>
        <w:rPr>
          <w:rFonts w:cs="Microsoft Uighur"/>
          <w:szCs w:val="28"/>
          <w:rtl/>
        </w:rPr>
        <w:t xml:space="preserve">والفكرة المسبقة التي تنطلق منها هذه الرؤية، هي أن الفقه لوحده كاف لتولى  مهمة تأمين النظام الاجتماعي والحقوقي، ولا يحتاج إلى مساعدة غيره أصلا، نعـم هـو </w:t>
      </w:r>
    </w:p>
    <w:p w14:paraId="17B95946" w14:textId="77777777" w:rsidR="00A77B3E" w:rsidRDefault="008B0C2C">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3CA2A2C1" w14:textId="77777777" w:rsidR="00A77B3E" w:rsidRDefault="008B0C2C">
      <w:pPr>
        <w:bidi/>
        <w:spacing w:line="360" w:lineRule="auto"/>
        <w:jc w:val="lowKashida"/>
        <w:rPr>
          <w:rFonts w:cs="Microsoft Uighur"/>
          <w:szCs w:val="28"/>
          <w:rtl/>
        </w:rPr>
      </w:pPr>
      <w:r>
        <w:rPr>
          <w:rFonts w:cs="Microsoft Uighur"/>
          <w:szCs w:val="28"/>
          <w:rtl/>
        </w:rPr>
        <w:t>بحاجة إلى قالب يتجلى فيه ويتحر</w:t>
      </w:r>
      <w:r>
        <w:rPr>
          <w:rFonts w:cs="Microsoft Uighur"/>
          <w:szCs w:val="28"/>
          <w:rtl/>
        </w:rPr>
        <w:t xml:space="preserve">ك داخله والقانون هو هذا القالب.  </w:t>
      </w:r>
    </w:p>
    <w:p w14:paraId="464A952A" w14:textId="77777777" w:rsidR="00A77B3E" w:rsidRDefault="008B0C2C">
      <w:pPr>
        <w:bidi/>
        <w:spacing w:line="360" w:lineRule="auto"/>
        <w:jc w:val="lowKashida"/>
        <w:rPr>
          <w:rFonts w:cs="Microsoft Uighur"/>
          <w:szCs w:val="28"/>
          <w:rtl/>
        </w:rPr>
      </w:pPr>
      <w:r>
        <w:rPr>
          <w:rFonts w:cs="Microsoft Uighur"/>
          <w:szCs w:val="28"/>
          <w:rtl/>
        </w:rPr>
        <w:t xml:space="preserve">فإن سلمنا بهذا الرأي (أي لم تعط للقانون والحقوق مكانة إلا أن مكانة كونه  وعاء) فالنتيجة هي أن لا يتوقع من القانون إلا الدور المتناسب مع ما يمتلكه الفقه من  قوة وقدرة؛ فلو كان الفقه قوياً في أحكامه يكون القانون قوياً كذلك، </w:t>
      </w:r>
      <w:r>
        <w:rPr>
          <w:rFonts w:cs="Microsoft Uighur"/>
          <w:szCs w:val="28"/>
          <w:rtl/>
        </w:rPr>
        <w:t xml:space="preserve">وأما لو كان الفقه  الذي انصب فيه، غير قوي فيكون القانون كذلك أيضاً؛ وبمعنى آخر: القانون في إطار  هذا الرأي دوره هو أن تمهد الأرضية للفقه، والمساعدة على تحققه في المجتمع.  </w:t>
      </w:r>
    </w:p>
    <w:p w14:paraId="364937F0" w14:textId="77777777" w:rsidR="00A77B3E" w:rsidRDefault="008B0C2C">
      <w:pPr>
        <w:bidi/>
        <w:spacing w:line="360" w:lineRule="auto"/>
        <w:jc w:val="lowKashida"/>
        <w:rPr>
          <w:rFonts w:cs="Microsoft Uighur"/>
          <w:szCs w:val="28"/>
          <w:rtl/>
        </w:rPr>
      </w:pPr>
      <w:r>
        <w:rPr>
          <w:rFonts w:cs="Microsoft Uighur"/>
          <w:szCs w:val="28"/>
          <w:rtl/>
        </w:rPr>
        <w:t>وبناء على ذلك فلو أردنا التسليم بهذا الرأي، فعلينا أن نرى ما هي مقتضيات  القانون باع</w:t>
      </w:r>
      <w:r>
        <w:rPr>
          <w:rFonts w:cs="Microsoft Uighur"/>
          <w:szCs w:val="28"/>
          <w:rtl/>
        </w:rPr>
        <w:t xml:space="preserve">تباره قالباً للفقه، وكيف يتبلور شكله ويظهر بمظهره في الوجود  </w:t>
      </w:r>
    </w:p>
    <w:p w14:paraId="31F3B733" w14:textId="77777777" w:rsidR="00A77B3E" w:rsidRDefault="008B0C2C">
      <w:pPr>
        <w:bidi/>
        <w:spacing w:line="360" w:lineRule="auto"/>
        <w:jc w:val="lowKashida"/>
        <w:rPr>
          <w:rFonts w:cs="Microsoft Uighur"/>
          <w:szCs w:val="28"/>
          <w:rtl/>
        </w:rPr>
      </w:pPr>
      <w:r>
        <w:rPr>
          <w:rFonts w:cs="Microsoft Uighur"/>
          <w:szCs w:val="28"/>
          <w:rtl/>
        </w:rPr>
        <w:t xml:space="preserve">(۲) كون العلاقة اتحادية واندكاكية  </w:t>
      </w:r>
    </w:p>
    <w:p w14:paraId="6DC7DE2A" w14:textId="77777777" w:rsidR="00A77B3E" w:rsidRDefault="008B0C2C">
      <w:pPr>
        <w:bidi/>
        <w:spacing w:line="360" w:lineRule="auto"/>
        <w:jc w:val="lowKashida"/>
        <w:rPr>
          <w:rFonts w:cs="Microsoft Uighur"/>
          <w:szCs w:val="28"/>
          <w:rtl/>
        </w:rPr>
      </w:pPr>
      <w:r>
        <w:rPr>
          <w:rFonts w:cs="Microsoft Uighur"/>
          <w:szCs w:val="28"/>
          <w:rtl/>
        </w:rPr>
        <w:t>حسب هذا الافتراض، لا بد أن يكمل كل منهما الآخر، انطلاقاً من كون  الحاجات الحقوقية والاجتماعية في الظروف الراهنة للمجتمعات الإسلامية معقدة  ومتعددة الجوانب، وا</w:t>
      </w:r>
      <w:r>
        <w:rPr>
          <w:rFonts w:cs="Microsoft Uighur"/>
          <w:szCs w:val="28"/>
          <w:rtl/>
        </w:rPr>
        <w:t xml:space="preserve">لإدارة الحقوقية لهذه المجتمعات لا يمكن ممارسة عملها  ونشاطاتها إلا عبر استقرار ثبات العلاقة بين الفقه والحقوق، ثباتاً يجعلهما كأنهما شيء  واحد، يندك أحدهما في الآخر.  </w:t>
      </w:r>
    </w:p>
    <w:p w14:paraId="27A2EBC4" w14:textId="77777777" w:rsidR="00A77B3E" w:rsidRDefault="008B0C2C">
      <w:pPr>
        <w:bidi/>
        <w:spacing w:line="360" w:lineRule="auto"/>
        <w:jc w:val="lowKashida"/>
        <w:rPr>
          <w:rFonts w:cs="Microsoft Uighur"/>
          <w:szCs w:val="28"/>
          <w:rtl/>
        </w:rPr>
      </w:pPr>
      <w:r>
        <w:rPr>
          <w:rFonts w:cs="Microsoft Uighur"/>
          <w:szCs w:val="28"/>
          <w:rtl/>
        </w:rPr>
        <w:t xml:space="preserve">(۳) كون العلاقة إطارية  </w:t>
      </w:r>
    </w:p>
    <w:p w14:paraId="303B9772" w14:textId="77777777" w:rsidR="00A77B3E" w:rsidRDefault="008B0C2C">
      <w:pPr>
        <w:bidi/>
        <w:spacing w:line="360" w:lineRule="auto"/>
        <w:jc w:val="lowKashida"/>
        <w:rPr>
          <w:rFonts w:cs="Microsoft Uighur"/>
          <w:szCs w:val="28"/>
          <w:rtl/>
        </w:rPr>
      </w:pPr>
      <w:r>
        <w:rPr>
          <w:rFonts w:cs="Microsoft Uighur"/>
          <w:szCs w:val="28"/>
          <w:rtl/>
        </w:rPr>
        <w:lastRenderedPageBreak/>
        <w:t>بمعنى أن دور الفقه لا يتعدى كونه تعيين الحدود وتحديد الأطر لا أ</w:t>
      </w:r>
      <w:r>
        <w:rPr>
          <w:rFonts w:cs="Microsoft Uighur"/>
          <w:szCs w:val="28"/>
          <w:rtl/>
        </w:rPr>
        <w:t xml:space="preserve">كثر، وأما  القانون فهو ينطلق بمرونة ضمن هذه الحدود التي يرسمها له الفقه ويتحرك بحرية  داخل الإطار الذي تصنعه وتحدده النظريات الفقهية.  </w:t>
      </w:r>
    </w:p>
    <w:p w14:paraId="792DB0B3" w14:textId="77777777" w:rsidR="00A77B3E" w:rsidRDefault="008B0C2C">
      <w:pPr>
        <w:bidi/>
        <w:spacing w:line="360" w:lineRule="auto"/>
        <w:jc w:val="lowKashida"/>
        <w:rPr>
          <w:rFonts w:cs="Microsoft Uighur"/>
          <w:szCs w:val="28"/>
          <w:rtl/>
        </w:rPr>
      </w:pPr>
      <w:r>
        <w:rPr>
          <w:rFonts w:cs="Microsoft Uighur"/>
          <w:szCs w:val="28"/>
          <w:rtl/>
        </w:rPr>
        <w:t xml:space="preserve">فعملية من القانون لا بد أن تراعى فيه هذه الحدود التي رسمها له الفقه، كخطوط  حمراء لا يجوز تجاوزها ولا عبورها.  </w:t>
      </w:r>
    </w:p>
    <w:p w14:paraId="68E0BD62" w14:textId="77777777" w:rsidR="00A77B3E" w:rsidRDefault="008B0C2C">
      <w:pPr>
        <w:bidi/>
        <w:spacing w:line="360" w:lineRule="auto"/>
        <w:jc w:val="lowKashida"/>
        <w:rPr>
          <w:rFonts w:cs="Microsoft Uighur"/>
          <w:szCs w:val="28"/>
          <w:rtl/>
        </w:rPr>
      </w:pPr>
      <w:r>
        <w:rPr>
          <w:rFonts w:cs="Microsoft Uighur"/>
          <w:szCs w:val="28"/>
          <w:rtl/>
        </w:rPr>
        <w:t>وبناء عل</w:t>
      </w:r>
      <w:r>
        <w:rPr>
          <w:rFonts w:cs="Microsoft Uighur"/>
          <w:szCs w:val="28"/>
          <w:rtl/>
        </w:rPr>
        <w:t xml:space="preserve">ى هذه الرؤية نلاحظ عدة أمور:  </w:t>
      </w:r>
    </w:p>
    <w:p w14:paraId="10CE4A45" w14:textId="77777777" w:rsidR="00A77B3E" w:rsidRDefault="008B0C2C">
      <w:pPr>
        <w:bidi/>
        <w:spacing w:line="360" w:lineRule="auto"/>
        <w:jc w:val="lowKashida"/>
        <w:rPr>
          <w:rFonts w:cs="Microsoft Uighur"/>
          <w:szCs w:val="28"/>
          <w:rtl/>
        </w:rPr>
      </w:pPr>
      <w:r>
        <w:rPr>
          <w:rFonts w:cs="Microsoft Uighur"/>
          <w:szCs w:val="28"/>
          <w:rtl/>
        </w:rPr>
        <w:t xml:space="preserve">أولاً: إن المقنن لا يقع في ضيق وعسر في عملية التقنين، بل بإمكانه أن يُراعى  المصالح، ويلحظ الأوضاع الزمانية والمكانية، وبما أن دور الفقه لابد أن يؤخذ بنظر  </w:t>
      </w:r>
    </w:p>
    <w:p w14:paraId="55040199" w14:textId="77777777" w:rsidR="00A77B3E" w:rsidRDefault="008B0C2C">
      <w:pPr>
        <w:bidi/>
        <w:spacing w:line="360" w:lineRule="auto"/>
        <w:jc w:val="lowKashida"/>
        <w:rPr>
          <w:rFonts w:cs="Microsoft Uighur"/>
          <w:szCs w:val="28"/>
          <w:rtl/>
        </w:rPr>
      </w:pPr>
      <w:r>
        <w:rPr>
          <w:rFonts w:cs="Microsoft Uighur"/>
          <w:szCs w:val="28"/>
          <w:rtl/>
        </w:rPr>
        <w:t xml:space="preserve">- الفقه المقارن - العددان (۲-۳) السنة الأولى ربيع - صيف ٢٠١٣ م :  </w:t>
      </w:r>
    </w:p>
    <w:p w14:paraId="15BE1DD5" w14:textId="77777777" w:rsidR="00A77B3E" w:rsidRDefault="008B0C2C">
      <w:pPr>
        <w:bidi/>
        <w:spacing w:line="360" w:lineRule="auto"/>
        <w:jc w:val="lowKashida"/>
        <w:rPr>
          <w:rFonts w:cs="Microsoft Uighur"/>
          <w:szCs w:val="28"/>
          <w:rtl/>
        </w:rPr>
      </w:pPr>
      <w:r>
        <w:rPr>
          <w:rFonts w:cs="Microsoft Uighur"/>
          <w:szCs w:val="28"/>
          <w:rtl/>
        </w:rPr>
        <w:t>ن</w:t>
      </w:r>
      <w:r>
        <w:rPr>
          <w:rFonts w:cs="Microsoft Uighur"/>
          <w:szCs w:val="28"/>
          <w:rtl/>
        </w:rPr>
        <w:t xml:space="preserve">ظرية بناء القانون على روح الشريعة  </w:t>
      </w:r>
    </w:p>
    <w:p w14:paraId="398B204A" w14:textId="77777777" w:rsidR="00A77B3E" w:rsidRDefault="008B0C2C">
      <w:pPr>
        <w:bidi/>
        <w:spacing w:line="360" w:lineRule="auto"/>
        <w:jc w:val="lowKashida"/>
        <w:rPr>
          <w:rFonts w:cs="Microsoft Uighur"/>
          <w:szCs w:val="28"/>
          <w:rtl/>
        </w:rPr>
      </w:pPr>
      <w:r>
        <w:rPr>
          <w:rFonts w:cs="Microsoft Uighur"/>
          <w:szCs w:val="28"/>
          <w:rtl/>
        </w:rPr>
        <w:t xml:space="preserve">الاعتبار في عملية التقنين لكونه يعرض الحدود البعيدة أو بتعبير آخر: الأصول الحاكمة  للفقه، لذلك يجب على المقنن أن يسعى دائماً إلى الاهتمام بهذه الأصول ورعايتها في  هذه العملية.  </w:t>
      </w:r>
    </w:p>
    <w:p w14:paraId="29627B4B" w14:textId="77777777" w:rsidR="00A77B3E" w:rsidRDefault="008B0C2C">
      <w:pPr>
        <w:bidi/>
        <w:spacing w:line="360" w:lineRule="auto"/>
        <w:jc w:val="lowKashida"/>
        <w:rPr>
          <w:rFonts w:cs="Microsoft Uighur"/>
          <w:szCs w:val="28"/>
          <w:rtl/>
        </w:rPr>
      </w:pPr>
      <w:r>
        <w:rPr>
          <w:rFonts w:cs="Microsoft Uighur"/>
          <w:szCs w:val="28"/>
          <w:rtl/>
        </w:rPr>
        <w:t>ثانياً: إن الثابت والمتغير في الشريعة يتعينان بهذه الصورة: الثابت هنا هو الأصول  التي يتعين بها الإطار العام الذي يجب مراعاته، والمتغير هو ما يكون ضمن حدود هذا  الإطار العام، حيث يمكن للمقنن أن يضع ضمن هذه الحدود قوانين عديدة، وفي  أوضاع مختلفة، ببذل بعض ا</w:t>
      </w:r>
      <w:r>
        <w:rPr>
          <w:rFonts w:cs="Microsoft Uighur"/>
          <w:szCs w:val="28"/>
          <w:rtl/>
        </w:rPr>
        <w:t xml:space="preserve">لمجهود.  </w:t>
      </w:r>
    </w:p>
    <w:p w14:paraId="4220BFDE" w14:textId="77777777" w:rsidR="00A77B3E" w:rsidRDefault="008B0C2C">
      <w:pPr>
        <w:bidi/>
        <w:spacing w:line="360" w:lineRule="auto"/>
        <w:jc w:val="lowKashida"/>
        <w:rPr>
          <w:rFonts w:cs="Microsoft Uighur"/>
          <w:szCs w:val="28"/>
          <w:rtl/>
        </w:rPr>
      </w:pPr>
      <w:r>
        <w:rPr>
          <w:rFonts w:cs="Microsoft Uighur"/>
          <w:szCs w:val="28"/>
          <w:rtl/>
        </w:rPr>
        <w:t>ثالثاً: إن ما قد يقال من أن القانون يجب أن لا يخالف الفقه، يفسر حسب هذه  الرؤية بأن عدم المخالفة تعنى رعاية الخطوط الحمراء وعدم تجاوزها، لكن على  أساس هذه الرؤية ليس هناك حاجة للموافقة، إذ ليست لها موضوعية في هذا المورد؛  لأن الموافقة تكون لها مو</w:t>
      </w:r>
      <w:r>
        <w:rPr>
          <w:rFonts w:cs="Microsoft Uighur"/>
          <w:szCs w:val="28"/>
          <w:rtl/>
        </w:rPr>
        <w:t>ضوعية عندما يكون الفقه مقنناً بحد ذاته، مع أنه قد لوحظ في  هذه الرؤية أن الفقه يعرض الحدود والأطر التي لا يجب تجاوزها؛ أي يجب أن لا  يكون القانون والمقنن فى حالة تعارض مع هذه الحدود. وهذا لا يلزم - بناء على هذه  الرؤية - أن تكون الموافقة والتطابق، بمعنى جع</w:t>
      </w:r>
      <w:r>
        <w:rPr>
          <w:rFonts w:cs="Microsoft Uighur"/>
          <w:szCs w:val="28"/>
          <w:rtl/>
        </w:rPr>
        <w:t xml:space="preserve">ل الفقه قانوناً.  </w:t>
      </w:r>
    </w:p>
    <w:p w14:paraId="7D6D7665" w14:textId="77777777" w:rsidR="00A77B3E" w:rsidRDefault="008B0C2C">
      <w:pPr>
        <w:bidi/>
        <w:spacing w:line="360" w:lineRule="auto"/>
        <w:jc w:val="lowKashida"/>
        <w:rPr>
          <w:rFonts w:cs="Microsoft Uighur"/>
          <w:szCs w:val="28"/>
          <w:rtl/>
        </w:rPr>
      </w:pPr>
      <w:r>
        <w:rPr>
          <w:rFonts w:cs="Microsoft Uighur"/>
          <w:szCs w:val="28"/>
          <w:rtl/>
        </w:rPr>
        <w:t xml:space="preserve">(٤) كون العلاقة استنباطية  </w:t>
      </w:r>
    </w:p>
    <w:p w14:paraId="6B63FD38" w14:textId="77777777" w:rsidR="00A77B3E" w:rsidRDefault="008B0C2C">
      <w:pPr>
        <w:bidi/>
        <w:spacing w:line="360" w:lineRule="auto"/>
        <w:jc w:val="lowKashida"/>
        <w:rPr>
          <w:rFonts w:cs="Microsoft Uighur"/>
          <w:szCs w:val="28"/>
          <w:rtl/>
        </w:rPr>
      </w:pPr>
      <w:r>
        <w:rPr>
          <w:rFonts w:cs="Microsoft Uighur"/>
          <w:szCs w:val="28"/>
          <w:rtl/>
        </w:rPr>
        <w:t xml:space="preserve">حسب هذا الافتراض يعد الفقه أحد مصادر القانون، وعلى ضوء هذا التصور لا  يكون الفقه مؤمناً لكافة مضامين القانون، بل يجب أن يرجع القانون إلى الفقه، كما  يجب أن يرجع إلى بعض العلوم البشرية والتجارب الإنسانية؛ وعلى </w:t>
      </w:r>
      <w:r>
        <w:rPr>
          <w:rFonts w:cs="Microsoft Uighur"/>
          <w:szCs w:val="28"/>
          <w:rtl/>
        </w:rPr>
        <w:t xml:space="preserve">رأسها علم  الحقوق.  </w:t>
      </w:r>
    </w:p>
    <w:p w14:paraId="75F64959" w14:textId="77777777" w:rsidR="00A77B3E" w:rsidRDefault="008B0C2C">
      <w:pPr>
        <w:bidi/>
        <w:spacing w:line="360" w:lineRule="auto"/>
        <w:jc w:val="lowKashida"/>
        <w:rPr>
          <w:rFonts w:cs="Microsoft Uighur"/>
          <w:szCs w:val="28"/>
          <w:rtl/>
        </w:rPr>
      </w:pPr>
      <w:r>
        <w:rPr>
          <w:rFonts w:cs="Microsoft Uighur"/>
          <w:szCs w:val="28"/>
          <w:rtl/>
        </w:rPr>
        <w:t xml:space="preserve">وهذا التصور يمكن تفسيره من خلال منهجين:  </w:t>
      </w:r>
    </w:p>
    <w:p w14:paraId="0468CCDA" w14:textId="77777777" w:rsidR="00A77B3E" w:rsidRDefault="008B0C2C">
      <w:pPr>
        <w:bidi/>
        <w:spacing w:line="360" w:lineRule="auto"/>
        <w:jc w:val="lowKashida"/>
        <w:rPr>
          <w:rFonts w:cs="Microsoft Uighur"/>
          <w:szCs w:val="28"/>
          <w:rtl/>
        </w:rPr>
      </w:pPr>
      <w:r>
        <w:rPr>
          <w:rFonts w:cs="Microsoft Uighur"/>
          <w:szCs w:val="28"/>
          <w:rtl/>
        </w:rPr>
        <w:t xml:space="preserve">أولهما: أن يأخذ المطالب الأساسية من الفقه، ونحيل بعض المطالب الأخرى  إلى العلم والحقوق، فإذا كان الأمر كذلك فسيكون مرد ذا التصور إلى التصور الأول:  الوعائية، أو العلاقة الثالثة: الإطارية. </w:t>
      </w:r>
    </w:p>
    <w:p w14:paraId="438781DD" w14:textId="77777777" w:rsidR="00A77B3E" w:rsidRDefault="008B0C2C">
      <w:pPr>
        <w:bidi/>
        <w:spacing w:line="360" w:lineRule="auto"/>
        <w:jc w:val="lowKashida"/>
        <w:rPr>
          <w:rFonts w:cs="Microsoft Uighur"/>
          <w:szCs w:val="28"/>
          <w:rtl/>
        </w:rPr>
      </w:pPr>
      <w:r>
        <w:rPr>
          <w:rFonts w:cs="Microsoft Uighur"/>
          <w:szCs w:val="28"/>
          <w:rtl/>
        </w:rPr>
        <w:t xml:space="preserve">ملف </w:t>
      </w:r>
      <w:r>
        <w:rPr>
          <w:rFonts w:cs="Microsoft Uighur"/>
          <w:szCs w:val="28"/>
          <w:rtl/>
        </w:rPr>
        <w:t xml:space="preserve">العدد: تقنين الفقه الإسلامي: الواقع والآفاق  </w:t>
      </w:r>
    </w:p>
    <w:p w14:paraId="408DDDBE" w14:textId="77777777" w:rsidR="00A77B3E" w:rsidRDefault="008B0C2C">
      <w:pPr>
        <w:bidi/>
        <w:spacing w:line="360" w:lineRule="auto"/>
        <w:jc w:val="lowKashida"/>
        <w:rPr>
          <w:rFonts w:cs="Microsoft Uighur"/>
          <w:szCs w:val="28"/>
          <w:rtl/>
        </w:rPr>
      </w:pPr>
      <w:r>
        <w:rPr>
          <w:rFonts w:cs="Microsoft Uighur"/>
          <w:szCs w:val="28"/>
          <w:rtl/>
        </w:rPr>
        <w:t>ثانيهما: أن يتدخل الفقه في عملية التقنين كما يتدخل علم الحقوق فيه، والمشكلة  التي يواجهها هذا التصور أن ذلك لا ينسجم مع تلك الفكرة التي سلمنا بها، من أن الفقه  يعكس ما هو حكم الله، وأن القانون يجب أن يعكس ما هو</w:t>
      </w:r>
      <w:r>
        <w:rPr>
          <w:rFonts w:cs="Microsoft Uighur"/>
          <w:szCs w:val="28"/>
          <w:rtl/>
        </w:rPr>
        <w:t xml:space="preserve"> الحكم الفقهي.  </w:t>
      </w:r>
    </w:p>
    <w:p w14:paraId="1D808F6D" w14:textId="77777777" w:rsidR="00A77B3E" w:rsidRDefault="008B0C2C">
      <w:pPr>
        <w:bidi/>
        <w:spacing w:line="360" w:lineRule="auto"/>
        <w:jc w:val="lowKashida"/>
        <w:rPr>
          <w:rFonts w:cs="Microsoft Uighur"/>
          <w:szCs w:val="28"/>
          <w:rtl/>
        </w:rPr>
      </w:pPr>
      <w:r>
        <w:rPr>
          <w:rFonts w:cs="Microsoft Uighur"/>
          <w:szCs w:val="28"/>
          <w:rtl/>
        </w:rPr>
        <w:t xml:space="preserve">(٥) كون العلاقة توازنية  </w:t>
      </w:r>
    </w:p>
    <w:p w14:paraId="680B146C" w14:textId="77777777" w:rsidR="00A77B3E" w:rsidRDefault="008B0C2C">
      <w:pPr>
        <w:bidi/>
        <w:spacing w:line="360" w:lineRule="auto"/>
        <w:jc w:val="lowKashida"/>
        <w:rPr>
          <w:rFonts w:cs="Microsoft Uighur"/>
          <w:szCs w:val="28"/>
          <w:rtl/>
        </w:rPr>
      </w:pPr>
      <w:r>
        <w:rPr>
          <w:rFonts w:cs="Microsoft Uighur"/>
          <w:szCs w:val="28"/>
          <w:rtl/>
        </w:rPr>
        <w:t xml:space="preserve">هذه الرؤية تعتبر أن لكل من الفقه والقانون كياناً مستقلاً، ومن هذا المنطلق  تسعى من أجل ضمان الفقه لأحكامه فى أعماق القانون، لا بالشكل الذي يكون ذلك  الكيان المستقل للقانون مبتلى بالخلل والاضطراب بجميع مقتضياته.  </w:t>
      </w:r>
    </w:p>
    <w:p w14:paraId="0C1B6C8C" w14:textId="77777777" w:rsidR="00A77B3E" w:rsidRDefault="008B0C2C">
      <w:pPr>
        <w:bidi/>
        <w:spacing w:line="360" w:lineRule="auto"/>
        <w:jc w:val="lowKashida"/>
        <w:rPr>
          <w:rFonts w:cs="Microsoft Uighur"/>
          <w:szCs w:val="28"/>
          <w:rtl/>
        </w:rPr>
      </w:pPr>
      <w:r>
        <w:rPr>
          <w:rFonts w:cs="Microsoft Uighur"/>
          <w:szCs w:val="28"/>
          <w:rtl/>
        </w:rPr>
        <w:lastRenderedPageBreak/>
        <w:t xml:space="preserve">وبناء على ذلك، علينا أن نقوم بجعل الفقه مؤمناً للقانون على قدر المستطاع، وإذا  واجهتنا مشكلة من المشاكل، نرفع اليد عن مضامين الحكم الشرعي.  </w:t>
      </w:r>
    </w:p>
    <w:p w14:paraId="131FED43" w14:textId="77777777" w:rsidR="00A77B3E" w:rsidRDefault="008B0C2C">
      <w:pPr>
        <w:bidi/>
        <w:spacing w:line="360" w:lineRule="auto"/>
        <w:jc w:val="lowKashida"/>
        <w:rPr>
          <w:rFonts w:cs="Microsoft Uighur"/>
          <w:szCs w:val="28"/>
          <w:rtl/>
        </w:rPr>
      </w:pPr>
      <w:r>
        <w:rPr>
          <w:rFonts w:cs="Microsoft Uighur"/>
          <w:szCs w:val="28"/>
          <w:rtl/>
        </w:rPr>
        <w:t xml:space="preserve">(٦) اعتبار لزوم أن يجري الفقه كروح داخل القانون:  </w:t>
      </w:r>
    </w:p>
    <w:p w14:paraId="4ADDD1DF" w14:textId="77777777" w:rsidR="00A77B3E" w:rsidRDefault="008B0C2C">
      <w:pPr>
        <w:bidi/>
        <w:spacing w:line="360" w:lineRule="auto"/>
        <w:jc w:val="lowKashida"/>
        <w:rPr>
          <w:rFonts w:cs="Microsoft Uighur"/>
          <w:szCs w:val="28"/>
          <w:rtl/>
        </w:rPr>
      </w:pPr>
      <w:r>
        <w:rPr>
          <w:rFonts w:cs="Microsoft Uighur"/>
          <w:szCs w:val="28"/>
          <w:rtl/>
        </w:rPr>
        <w:t>بحسب هذا الافتراض، يعد الفقه بمثابة الروح التي يجب أن تجري في عر</w:t>
      </w:r>
      <w:r>
        <w:rPr>
          <w:rFonts w:cs="Microsoft Uighur"/>
          <w:szCs w:val="28"/>
          <w:rtl/>
        </w:rPr>
        <w:t xml:space="preserve">وق  القانون، وإن كان ما نلمسه هو تحقق الحركة والنشاط في الجسد الذي يعبر عنه  بالقانون.  </w:t>
      </w:r>
    </w:p>
    <w:p w14:paraId="3AC92A22" w14:textId="77777777" w:rsidR="00A77B3E" w:rsidRDefault="008B0C2C">
      <w:pPr>
        <w:bidi/>
        <w:spacing w:line="360" w:lineRule="auto"/>
        <w:jc w:val="lowKashida"/>
        <w:rPr>
          <w:rFonts w:cs="Microsoft Uighur"/>
          <w:szCs w:val="28"/>
          <w:rtl/>
        </w:rPr>
      </w:pPr>
      <w:r>
        <w:rPr>
          <w:rFonts w:cs="Microsoft Uighur"/>
          <w:szCs w:val="28"/>
          <w:rtl/>
        </w:rPr>
        <w:t xml:space="preserve">المحور الثاني: محاولة تأسيس نظرية بناء القانون على روح الشريعة  </w:t>
      </w:r>
    </w:p>
    <w:p w14:paraId="52623730" w14:textId="77777777" w:rsidR="00A77B3E" w:rsidRDefault="008B0C2C">
      <w:pPr>
        <w:bidi/>
        <w:spacing w:line="360" w:lineRule="auto"/>
        <w:jc w:val="lowKashida"/>
        <w:rPr>
          <w:rFonts w:cs="Microsoft Uighur"/>
          <w:szCs w:val="28"/>
          <w:rtl/>
        </w:rPr>
      </w:pPr>
      <w:r>
        <w:rPr>
          <w:rFonts w:cs="Microsoft Uighur"/>
          <w:szCs w:val="28"/>
          <w:rtl/>
        </w:rPr>
        <w:t>ما تقدم يعكس عرض أهم وأبرز التصورات في مجال العلاقة بين الفقه والقانون.  ونحن في هذا العرض لم نكن نريد</w:t>
      </w:r>
      <w:r>
        <w:rPr>
          <w:rFonts w:cs="Microsoft Uighur"/>
          <w:szCs w:val="28"/>
          <w:rtl/>
        </w:rPr>
        <w:t xml:space="preserve"> الدخول في نقد هذه التصورات، فإن للنقد  </w:t>
      </w:r>
    </w:p>
    <w:p w14:paraId="1CEC084D" w14:textId="77777777" w:rsidR="00A77B3E" w:rsidRDefault="008B0C2C">
      <w:pPr>
        <w:bidi/>
        <w:spacing w:line="360" w:lineRule="auto"/>
        <w:jc w:val="lowKashida"/>
        <w:rPr>
          <w:rFonts w:cs="Microsoft Uighur"/>
          <w:szCs w:val="28"/>
          <w:rtl/>
        </w:rPr>
      </w:pPr>
      <w:r>
        <w:rPr>
          <w:rFonts w:cs="Microsoft Uighur"/>
          <w:szCs w:val="28"/>
          <w:rtl/>
        </w:rPr>
        <w:t>والبحث التفصيلي في ذلك، مجال آخر، بل الذي أردناه هو التمهيد للدخول في بحث  آخر، وهو البحث عن الافتراض السادس، ومحاولة التركيز فيه على تقديم محاولة  علمية الهدف منها بلورة هذا الفرض كنظرية علمية قابلة للطرح والمناقشة</w:t>
      </w:r>
      <w:r>
        <w:rPr>
          <w:rFonts w:cs="Microsoft Uighur"/>
          <w:szCs w:val="28"/>
          <w:rtl/>
        </w:rPr>
        <w:t xml:space="preserve"> من قبل ذوي  العلم والتخصص والاهتمام في موضوع العلاقة بين الفقه والقانون.  </w:t>
      </w:r>
    </w:p>
    <w:p w14:paraId="26073FFA" w14:textId="77777777" w:rsidR="00A77B3E" w:rsidRDefault="008B0C2C">
      <w:pPr>
        <w:bidi/>
        <w:spacing w:line="360" w:lineRule="auto"/>
        <w:jc w:val="lowKashida"/>
        <w:rPr>
          <w:rFonts w:cs="Microsoft Uighur"/>
          <w:szCs w:val="28"/>
          <w:rtl/>
        </w:rPr>
      </w:pPr>
      <w:r>
        <w:rPr>
          <w:rFonts w:cs="Microsoft Uighur"/>
          <w:szCs w:val="28"/>
          <w:rtl/>
        </w:rPr>
        <w:t xml:space="preserve">وهذه المحاولة تتم عبر بيان عدة أمور:  </w:t>
      </w:r>
    </w:p>
    <w:p w14:paraId="7F2E10AA" w14:textId="77777777" w:rsidR="00A77B3E" w:rsidRDefault="008B0C2C">
      <w:pPr>
        <w:bidi/>
        <w:spacing w:line="360" w:lineRule="auto"/>
        <w:jc w:val="lowKashida"/>
        <w:rPr>
          <w:rFonts w:cs="Microsoft Uighur"/>
          <w:szCs w:val="28"/>
          <w:rtl/>
        </w:rPr>
      </w:pPr>
      <w:r>
        <w:rPr>
          <w:rFonts w:cs="Microsoft Uighur"/>
          <w:szCs w:val="28"/>
          <w:rtl/>
        </w:rPr>
        <w:t xml:space="preserve">أ- إن الذي تركز عليه هذه النظرية هو أن نصب جل اهتمامنا على جعل الفقه  روحاً للقانون، ونعمل بحيث نجعل الفقه يتجلى من خلال القانون. لذلك  </w:t>
      </w:r>
    </w:p>
    <w:p w14:paraId="25424877" w14:textId="77777777" w:rsidR="00A77B3E" w:rsidRDefault="008B0C2C">
      <w:pPr>
        <w:bidi/>
        <w:spacing w:line="360" w:lineRule="auto"/>
        <w:jc w:val="lowKashida"/>
        <w:rPr>
          <w:rFonts w:cs="Microsoft Uighur"/>
          <w:szCs w:val="28"/>
          <w:rtl/>
        </w:rPr>
      </w:pPr>
      <w:r>
        <w:rPr>
          <w:rFonts w:cs="Microsoft Uighur"/>
          <w:szCs w:val="28"/>
          <w:rtl/>
        </w:rPr>
        <w:t>الفق</w:t>
      </w:r>
      <w:r>
        <w:rPr>
          <w:rFonts w:cs="Microsoft Uighur"/>
          <w:szCs w:val="28"/>
          <w:rtl/>
        </w:rPr>
        <w:t xml:space="preserve">ه المقارن - العددان (٢-٣) السنة الأولى ٫ ربيع - صيف ٢٠١٣ م سے  </w:t>
      </w:r>
    </w:p>
    <w:p w14:paraId="7AE2B6B2" w14:textId="77777777" w:rsidR="00A77B3E" w:rsidRDefault="008B0C2C">
      <w:pPr>
        <w:bidi/>
        <w:spacing w:line="360" w:lineRule="auto"/>
        <w:jc w:val="lowKashida"/>
        <w:rPr>
          <w:rFonts w:cs="Microsoft Uighur"/>
          <w:szCs w:val="28"/>
          <w:rtl/>
        </w:rPr>
      </w:pPr>
      <w:r>
        <w:rPr>
          <w:rFonts w:cs="Microsoft Uighur"/>
          <w:szCs w:val="28"/>
          <w:rtl/>
        </w:rPr>
        <w:t xml:space="preserve">نظرية بناء القانون على روح الشريعة  </w:t>
      </w:r>
    </w:p>
    <w:p w14:paraId="6687D714" w14:textId="77777777" w:rsidR="00A77B3E" w:rsidRDefault="008B0C2C">
      <w:pPr>
        <w:bidi/>
        <w:spacing w:line="360" w:lineRule="auto"/>
        <w:jc w:val="lowKashida"/>
        <w:rPr>
          <w:rFonts w:cs="Microsoft Uighur"/>
          <w:szCs w:val="28"/>
          <w:rtl/>
        </w:rPr>
      </w:pPr>
      <w:r>
        <w:rPr>
          <w:rFonts w:cs="Microsoft Uighur"/>
          <w:szCs w:val="28"/>
          <w:rtl/>
        </w:rPr>
        <w:t xml:space="preserve">من المعقول أن نعبر عن هذه الرؤية بنظرية بناء القانون على روح الفقه.  </w:t>
      </w:r>
    </w:p>
    <w:p w14:paraId="04530365" w14:textId="77777777" w:rsidR="00A77B3E" w:rsidRDefault="008B0C2C">
      <w:pPr>
        <w:bidi/>
        <w:spacing w:line="360" w:lineRule="auto"/>
        <w:jc w:val="lowKashida"/>
        <w:rPr>
          <w:rFonts w:cs="Microsoft Uighur"/>
          <w:szCs w:val="28"/>
          <w:rtl/>
        </w:rPr>
      </w:pPr>
      <w:r>
        <w:rPr>
          <w:rFonts w:cs="Microsoft Uighur"/>
          <w:szCs w:val="28"/>
          <w:rtl/>
        </w:rPr>
        <w:t xml:space="preserve">ب إن مشروع "أسلمة القانون " حسب هذه النظرية يتم عبر نفت روح الفقه في  الجسد الحقوقي للقانون.  </w:t>
      </w:r>
    </w:p>
    <w:p w14:paraId="7FB5E718" w14:textId="77777777" w:rsidR="00A77B3E" w:rsidRDefault="008B0C2C">
      <w:pPr>
        <w:bidi/>
        <w:spacing w:line="360" w:lineRule="auto"/>
        <w:jc w:val="lowKashida"/>
        <w:rPr>
          <w:rFonts w:cs="Microsoft Uighur"/>
          <w:szCs w:val="28"/>
          <w:rtl/>
        </w:rPr>
      </w:pPr>
      <w:r>
        <w:rPr>
          <w:rFonts w:cs="Microsoft Uighur"/>
          <w:szCs w:val="28"/>
          <w:rtl/>
        </w:rPr>
        <w:t xml:space="preserve">هذا وسيمتلك كل من الفقه والقانون حسب تحقيق هذه العلاقة أساساً وحيوية  ونشاطاً، ما يجعل كلاً منهما يحقق فلسفته وأداءه.  </w:t>
      </w:r>
    </w:p>
    <w:p w14:paraId="006F86C6" w14:textId="77777777" w:rsidR="00A77B3E" w:rsidRDefault="008B0C2C">
      <w:pPr>
        <w:bidi/>
        <w:spacing w:line="360" w:lineRule="auto"/>
        <w:jc w:val="lowKashida"/>
        <w:rPr>
          <w:rFonts w:cs="Microsoft Uighur"/>
          <w:szCs w:val="28"/>
          <w:rtl/>
        </w:rPr>
      </w:pPr>
      <w:r>
        <w:rPr>
          <w:rFonts w:cs="Microsoft Uighur"/>
          <w:szCs w:val="28"/>
          <w:rtl/>
        </w:rPr>
        <w:t xml:space="preserve">ت إن التسليم بهذا التصور، يستتبع أن يكون </w:t>
      </w:r>
      <w:r>
        <w:rPr>
          <w:rFonts w:cs="Microsoft Uighur"/>
          <w:szCs w:val="28"/>
          <w:rtl/>
        </w:rPr>
        <w:t xml:space="preserve">لنا قبل كل شيء تعريف  بالأهداف والمناطات الفقهية، وعندها نقوم بصبها بشكل مناسب في قالب  القانون.  </w:t>
      </w:r>
    </w:p>
    <w:p w14:paraId="51920191" w14:textId="77777777" w:rsidR="00A77B3E" w:rsidRDefault="008B0C2C">
      <w:pPr>
        <w:bidi/>
        <w:spacing w:line="360" w:lineRule="auto"/>
        <w:jc w:val="lowKashida"/>
        <w:rPr>
          <w:rFonts w:cs="Microsoft Uighur"/>
          <w:szCs w:val="28"/>
          <w:rtl/>
        </w:rPr>
      </w:pPr>
      <w:r>
        <w:rPr>
          <w:rFonts w:cs="Microsoft Uighur"/>
          <w:szCs w:val="28"/>
          <w:rtl/>
        </w:rPr>
        <w:t xml:space="preserve">والحقيقة إن هذا القانون هو الذي يقوم بتأمين تلك الروح واحتوائها، لأن الطريق  لكشف الروح التي نريد إقرارها في القانون، يمر عبر معرفة الأهداف والمناطات.  </w:t>
      </w:r>
    </w:p>
    <w:p w14:paraId="6952F4E3" w14:textId="77777777" w:rsidR="00A77B3E" w:rsidRDefault="008B0C2C">
      <w:pPr>
        <w:bidi/>
        <w:spacing w:line="360" w:lineRule="auto"/>
        <w:jc w:val="lowKashida"/>
        <w:rPr>
          <w:rFonts w:cs="Microsoft Uighur"/>
          <w:szCs w:val="28"/>
          <w:rtl/>
        </w:rPr>
      </w:pPr>
      <w:r>
        <w:rPr>
          <w:rFonts w:cs="Microsoft Uighur"/>
          <w:szCs w:val="28"/>
          <w:rtl/>
        </w:rPr>
        <w:t xml:space="preserve">ت - </w:t>
      </w:r>
      <w:r>
        <w:rPr>
          <w:rFonts w:cs="Microsoft Uighur"/>
          <w:szCs w:val="28"/>
          <w:rtl/>
        </w:rPr>
        <w:t xml:space="preserve">لذا يمكن أن يقال: إن هذه الفكرة تتلائم مع ما أصبح معروفاً في الحقوق  باسم روح القانون.  </w:t>
      </w:r>
    </w:p>
    <w:p w14:paraId="2E898C45" w14:textId="77777777" w:rsidR="00A77B3E" w:rsidRDefault="008B0C2C">
      <w:pPr>
        <w:bidi/>
        <w:spacing w:line="360" w:lineRule="auto"/>
        <w:jc w:val="lowKashida"/>
        <w:rPr>
          <w:rFonts w:cs="Microsoft Uighur"/>
          <w:szCs w:val="28"/>
          <w:rtl/>
        </w:rPr>
      </w:pPr>
      <w:r>
        <w:rPr>
          <w:rFonts w:cs="Microsoft Uighur"/>
          <w:szCs w:val="28"/>
          <w:rtl/>
        </w:rPr>
        <w:t xml:space="preserve">ج - انطلاقاً من هذه التلاؤمية بين مفهوم روح الفقه ومعنى روح القانون، يجب  أن نتعرف على "روح القانون" ما هو ؟  </w:t>
      </w:r>
    </w:p>
    <w:p w14:paraId="6DD70ACE" w14:textId="77777777" w:rsidR="00A77B3E" w:rsidRDefault="008B0C2C">
      <w:pPr>
        <w:bidi/>
        <w:spacing w:line="360" w:lineRule="auto"/>
        <w:jc w:val="lowKashida"/>
        <w:rPr>
          <w:rFonts w:cs="Microsoft Uighur"/>
          <w:szCs w:val="28"/>
          <w:rtl/>
        </w:rPr>
      </w:pPr>
      <w:r>
        <w:rPr>
          <w:rFonts w:cs="Microsoft Uighur"/>
          <w:szCs w:val="28"/>
          <w:rtl/>
        </w:rPr>
        <w:t xml:space="preserve">والإجابة على هذا السؤال تتم عبر تناول النقاط التالية:  </w:t>
      </w:r>
    </w:p>
    <w:p w14:paraId="6DC67592" w14:textId="77777777" w:rsidR="00A77B3E" w:rsidRDefault="008B0C2C">
      <w:pPr>
        <w:bidi/>
        <w:spacing w:line="360" w:lineRule="auto"/>
        <w:jc w:val="lowKashida"/>
        <w:rPr>
          <w:rFonts w:cs="Microsoft Uighur"/>
          <w:szCs w:val="28"/>
          <w:rtl/>
        </w:rPr>
      </w:pPr>
      <w:r>
        <w:rPr>
          <w:rFonts w:cs="Microsoft Uighur"/>
          <w:szCs w:val="28"/>
          <w:rtl/>
        </w:rPr>
        <w:t xml:space="preserve">النقطة الأولى: الاتجاهات حول علاقة القانون بإرادة واضعيه: يطرح هذا  السؤال، هل اللازم ربط تفسير وتطبيق القانون بإرادة وفكرة واضعيه أم ليس ذلك  صحيحاً، بل اللازم اعتباره مستقلاً في مجال تفسيره وتطبيقه ؟  </w:t>
      </w:r>
    </w:p>
    <w:p w14:paraId="7199623D" w14:textId="77777777" w:rsidR="00A77B3E" w:rsidRDefault="008B0C2C">
      <w:pPr>
        <w:bidi/>
        <w:spacing w:line="360" w:lineRule="auto"/>
        <w:jc w:val="lowKashida"/>
        <w:rPr>
          <w:rFonts w:cs="Microsoft Uighur"/>
          <w:szCs w:val="28"/>
          <w:rtl/>
        </w:rPr>
      </w:pPr>
      <w:r>
        <w:rPr>
          <w:rFonts w:cs="Microsoft Uighur"/>
          <w:szCs w:val="28"/>
          <w:rtl/>
        </w:rPr>
        <w:lastRenderedPageBreak/>
        <w:t xml:space="preserve">قد برزت في الإجابة عن هذا السؤال ثلاثة اتجاهات، كما </w:t>
      </w:r>
      <w:r>
        <w:rPr>
          <w:rFonts w:cs="Microsoft Uighur"/>
          <w:szCs w:val="28"/>
          <w:rtl/>
        </w:rPr>
        <w:t xml:space="preserve">يلي:  </w:t>
      </w:r>
    </w:p>
    <w:p w14:paraId="245AB646" w14:textId="77777777" w:rsidR="00A77B3E" w:rsidRDefault="008B0C2C">
      <w:pPr>
        <w:bidi/>
        <w:spacing w:line="360" w:lineRule="auto"/>
        <w:jc w:val="lowKashida"/>
        <w:rPr>
          <w:rFonts w:cs="Microsoft Uighur"/>
          <w:szCs w:val="28"/>
          <w:rtl/>
        </w:rPr>
      </w:pPr>
      <w:r>
        <w:rPr>
          <w:rFonts w:cs="Microsoft Uighur"/>
          <w:szCs w:val="28"/>
          <w:rtl/>
        </w:rPr>
        <w:t xml:space="preserve">ا الاتجاه القائل باستقلال القانون عن إرادة الواضعين له:  </w:t>
      </w:r>
    </w:p>
    <w:p w14:paraId="470F5580" w14:textId="77777777" w:rsidR="00A77B3E" w:rsidRDefault="008B0C2C">
      <w:pPr>
        <w:bidi/>
        <w:spacing w:line="360" w:lineRule="auto"/>
        <w:jc w:val="lowKashida"/>
        <w:rPr>
          <w:rFonts w:cs="Microsoft Uighur"/>
          <w:szCs w:val="28"/>
          <w:rtl/>
        </w:rPr>
      </w:pPr>
      <w:r>
        <w:rPr>
          <w:rFonts w:cs="Microsoft Uighur"/>
          <w:szCs w:val="28"/>
          <w:rtl/>
        </w:rPr>
        <w:t>إن أصحاب هذا الاتجاه يرون أن القانون بعد سنه وعرضه على المجتمع  للتنفيذ، ينتقل إلى مرحلة جديدة، يلبس فيها لباس الظاهرة ذات البعد الاجتماعي  وإذا انتقلت إلى هذه المرحلة تدخل رويداً رويداً في ا</w:t>
      </w:r>
      <w:r>
        <w:rPr>
          <w:rFonts w:cs="Microsoft Uighur"/>
          <w:szCs w:val="28"/>
          <w:rtl/>
        </w:rPr>
        <w:t xml:space="preserve">لدورة التعاملية الاجتماعية"  </w:t>
      </w:r>
    </w:p>
    <w:p w14:paraId="324FE093" w14:textId="77777777" w:rsidR="00A77B3E" w:rsidRDefault="008B0C2C">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3D672F69" w14:textId="77777777" w:rsidR="00A77B3E" w:rsidRDefault="008B0C2C">
      <w:pPr>
        <w:bidi/>
        <w:spacing w:line="360" w:lineRule="auto"/>
        <w:jc w:val="lowKashida"/>
        <w:rPr>
          <w:rFonts w:cs="Microsoft Uighur"/>
          <w:szCs w:val="28"/>
          <w:rtl/>
        </w:rPr>
      </w:pPr>
      <w:r>
        <w:rPr>
          <w:rFonts w:cs="Microsoft Uighur"/>
          <w:szCs w:val="28"/>
          <w:rtl/>
        </w:rPr>
        <w:t xml:space="preserve">والتي هي قائمة بين ظواهر المجتمع، وبذلك يؤثر على غيره من الظواهر كما يتأثر  من سائر الظواهر.  </w:t>
      </w:r>
    </w:p>
    <w:p w14:paraId="3A9297FA" w14:textId="77777777" w:rsidR="00A77B3E" w:rsidRDefault="008B0C2C">
      <w:pPr>
        <w:bidi/>
        <w:spacing w:line="360" w:lineRule="auto"/>
        <w:jc w:val="lowKashida"/>
        <w:rPr>
          <w:rFonts w:cs="Microsoft Uighur"/>
          <w:szCs w:val="28"/>
          <w:rtl/>
        </w:rPr>
      </w:pPr>
      <w:r>
        <w:rPr>
          <w:rFonts w:cs="Microsoft Uighur"/>
          <w:szCs w:val="28"/>
          <w:rtl/>
        </w:rPr>
        <w:t>ولكي يكون تفاعله في المجتمع تفاعلاً قوياً يتمكن عبره من تحقيق فلسفته  وتقديم أدائ</w:t>
      </w:r>
      <w:r>
        <w:rPr>
          <w:rFonts w:cs="Microsoft Uighur"/>
          <w:szCs w:val="28"/>
          <w:rtl/>
        </w:rPr>
        <w:t>ه المتوقع منه، يجب أن يستعد لذلك، وهذا الاستعداد بدوره رهين لأن  يكون متمتعاً بالعناصر التي تمكنه من التطور والمرونة والمواكبة مع القضايا  الاجتماعية والتي من أهم خصائصها قبولها لحالة التطور والتجدد، ومن المعلوم أن  هذه العناصر حصولها ممكن فيما إذا لوحظ ال</w:t>
      </w:r>
      <w:r>
        <w:rPr>
          <w:rFonts w:cs="Microsoft Uighur"/>
          <w:szCs w:val="28"/>
          <w:rtl/>
        </w:rPr>
        <w:t xml:space="preserve">قانون مستقلاً عن إرادة الواضعين له.  </w:t>
      </w:r>
    </w:p>
    <w:p w14:paraId="24DD1A94" w14:textId="77777777" w:rsidR="00A77B3E" w:rsidRDefault="008B0C2C">
      <w:pPr>
        <w:bidi/>
        <w:spacing w:line="360" w:lineRule="auto"/>
        <w:jc w:val="lowKashida"/>
        <w:rPr>
          <w:rFonts w:cs="Microsoft Uighur"/>
          <w:szCs w:val="28"/>
          <w:rtl/>
        </w:rPr>
      </w:pPr>
      <w:r>
        <w:rPr>
          <w:rFonts w:cs="Microsoft Uighur"/>
          <w:szCs w:val="28"/>
          <w:rtl/>
        </w:rPr>
        <w:t xml:space="preserve">ولا نريد هنا الدخول في نقد هذا الاتجاه، فإن لهذا البحث مكانه المناسب له.  </w:t>
      </w:r>
    </w:p>
    <w:p w14:paraId="5151618D" w14:textId="77777777" w:rsidR="00A77B3E" w:rsidRDefault="008B0C2C">
      <w:pPr>
        <w:bidi/>
        <w:spacing w:line="360" w:lineRule="auto"/>
        <w:jc w:val="lowKashida"/>
        <w:rPr>
          <w:rFonts w:cs="Microsoft Uighur"/>
          <w:szCs w:val="28"/>
          <w:rtl/>
        </w:rPr>
      </w:pPr>
      <w:r>
        <w:rPr>
          <w:rFonts w:cs="Microsoft Uighur"/>
          <w:szCs w:val="28"/>
          <w:rtl/>
        </w:rPr>
        <w:t xml:space="preserve">الاتجاه القائل بعدم استقلال القانون عن إرادة الواضعين له:  </w:t>
      </w:r>
    </w:p>
    <w:p w14:paraId="3A184A7F" w14:textId="77777777" w:rsidR="00A77B3E" w:rsidRDefault="008B0C2C">
      <w:pPr>
        <w:bidi/>
        <w:spacing w:line="360" w:lineRule="auto"/>
        <w:jc w:val="lowKashida"/>
        <w:rPr>
          <w:rFonts w:cs="Microsoft Uighur"/>
          <w:szCs w:val="28"/>
          <w:rtl/>
        </w:rPr>
      </w:pPr>
      <w:r>
        <w:rPr>
          <w:rFonts w:cs="Microsoft Uighur"/>
          <w:szCs w:val="28"/>
          <w:rtl/>
        </w:rPr>
        <w:t>يرى أصحاب هذا الاتجاه أنه لما كان القانون يتولى إيجاد النظم والأمن في  المجتمع - وه</w:t>
      </w:r>
      <w:r>
        <w:rPr>
          <w:rFonts w:cs="Microsoft Uighur"/>
          <w:szCs w:val="28"/>
          <w:rtl/>
        </w:rPr>
        <w:t xml:space="preserve">ما يحتاجان إلى حالة الثبات بشكل كبير - فهو بحاجة بطريق أولى  إلى الثبات، فلو كان تفسيره وتطبيقه تابعين للتغييرات الطارئة على القضايا  الاجتماعية، فلا يتمكن من تحقيق مهمته.  </w:t>
      </w:r>
    </w:p>
    <w:p w14:paraId="50EEAFAB" w14:textId="77777777" w:rsidR="00A77B3E" w:rsidRDefault="008B0C2C">
      <w:pPr>
        <w:bidi/>
        <w:spacing w:line="360" w:lineRule="auto"/>
        <w:jc w:val="lowKashida"/>
        <w:rPr>
          <w:rFonts w:cs="Microsoft Uighur"/>
          <w:szCs w:val="28"/>
          <w:rtl/>
        </w:rPr>
      </w:pPr>
      <w:r>
        <w:rPr>
          <w:rFonts w:cs="Microsoft Uighur"/>
          <w:szCs w:val="28"/>
          <w:rtl/>
        </w:rPr>
        <w:t>هذا بالإضافة إلى أن القانون التابع في تفسيره وتطبيقه للتحولات الاجتماعية  يواجه مش</w:t>
      </w:r>
      <w:r>
        <w:rPr>
          <w:rFonts w:cs="Microsoft Uighur"/>
          <w:szCs w:val="28"/>
          <w:rtl/>
        </w:rPr>
        <w:t xml:space="preserve">كلة أخرى فيما إذا كان واضعه يضعه على أساس الفقه ولمجتمع  إسلامي، فإنه لو جعل تفسيره وتطبيقه تابعين لتحولات أوضاع المجتمع، فلا يمكنه  أن يبقي مقيداً بالفقه.  </w:t>
      </w:r>
    </w:p>
    <w:p w14:paraId="6FD62289" w14:textId="77777777" w:rsidR="00A77B3E" w:rsidRDefault="008B0C2C">
      <w:pPr>
        <w:bidi/>
        <w:spacing w:line="360" w:lineRule="auto"/>
        <w:jc w:val="lowKashida"/>
        <w:rPr>
          <w:rFonts w:cs="Microsoft Uighur"/>
          <w:szCs w:val="28"/>
          <w:rtl/>
        </w:rPr>
      </w:pPr>
      <w:r>
        <w:rPr>
          <w:rFonts w:cs="Microsoft Uighur"/>
          <w:szCs w:val="28"/>
          <w:rtl/>
        </w:rPr>
        <w:t xml:space="preserve">الاتجاه القائل بغلبة موارد حالة عدم استقلاله على موارد استقلاله  </w:t>
      </w:r>
    </w:p>
    <w:p w14:paraId="04F7E5CC" w14:textId="77777777" w:rsidR="00A77B3E" w:rsidRDefault="008B0C2C">
      <w:pPr>
        <w:bidi/>
        <w:spacing w:line="360" w:lineRule="auto"/>
        <w:jc w:val="lowKashida"/>
        <w:rPr>
          <w:rFonts w:cs="Microsoft Uighur"/>
          <w:szCs w:val="28"/>
          <w:rtl/>
        </w:rPr>
      </w:pPr>
      <w:r>
        <w:rPr>
          <w:rFonts w:cs="Microsoft Uighur"/>
          <w:szCs w:val="28"/>
          <w:rtl/>
        </w:rPr>
        <w:t xml:space="preserve">هذا الاتجاه يرى بصورة مبدئية أن </w:t>
      </w:r>
      <w:r>
        <w:rPr>
          <w:rFonts w:cs="Microsoft Uighur"/>
          <w:szCs w:val="28"/>
          <w:rtl/>
        </w:rPr>
        <w:t>القانون لا بد أن يتقيد بما كان قد أراده  واضعوه، وليس من الصحيح أن يكون تفسيره وتطبيقه تابعين للمنطق الحاصل على  ضوء التحولات والتطورات في القضايا الاجتماعية، غير أن هناك أبعاداً أخرى  ترتبط بتطبيقه في موارد خاصة ربما لم تلحظ في أدبيات وألفاظ القانون، ولكن</w:t>
      </w:r>
      <w:r>
        <w:rPr>
          <w:rFonts w:cs="Microsoft Uighur"/>
          <w:szCs w:val="28"/>
          <w:rtl/>
        </w:rPr>
        <w:t xml:space="preserve">  القانون مع ذلك يقبل أن يفسر في هذه الأبعاد بما يتلائم مع مواكبته للظروف  </w:t>
      </w:r>
    </w:p>
    <w:p w14:paraId="353778AF" w14:textId="77777777" w:rsidR="00A77B3E" w:rsidRDefault="008B0C2C">
      <w:pPr>
        <w:bidi/>
        <w:spacing w:line="360" w:lineRule="auto"/>
        <w:jc w:val="lowKashida"/>
        <w:rPr>
          <w:rFonts w:cs="Microsoft Uighur"/>
          <w:szCs w:val="28"/>
          <w:rtl/>
        </w:rPr>
      </w:pPr>
      <w:r>
        <w:rPr>
          <w:rFonts w:cs="Microsoft Uighur"/>
          <w:szCs w:val="28"/>
          <w:rtl/>
        </w:rPr>
        <w:t xml:space="preserve">الفقه المقارن - العددان (٢-٣) السنة الأولى ربيع - صيف ٢٠١٣م - </w:t>
      </w:r>
    </w:p>
    <w:p w14:paraId="2C1DA68B" w14:textId="77777777" w:rsidR="00A77B3E" w:rsidRDefault="008B0C2C">
      <w:pPr>
        <w:bidi/>
        <w:spacing w:line="360" w:lineRule="auto"/>
        <w:jc w:val="lowKashida"/>
        <w:rPr>
          <w:rFonts w:cs="Microsoft Uighur"/>
          <w:szCs w:val="28"/>
          <w:rtl/>
        </w:rPr>
      </w:pPr>
      <w:r>
        <w:rPr>
          <w:rFonts w:cs="Microsoft Uighur"/>
          <w:szCs w:val="28"/>
          <w:rtl/>
        </w:rPr>
        <w:t xml:space="preserve">نظرية بناء القانون على روح الشريعة  </w:t>
      </w:r>
    </w:p>
    <w:p w14:paraId="088AFB97" w14:textId="77777777" w:rsidR="00A77B3E" w:rsidRDefault="008B0C2C">
      <w:pPr>
        <w:bidi/>
        <w:spacing w:line="360" w:lineRule="auto"/>
        <w:jc w:val="lowKashida"/>
        <w:rPr>
          <w:rFonts w:cs="Microsoft Uighur"/>
          <w:szCs w:val="28"/>
          <w:rtl/>
        </w:rPr>
      </w:pPr>
      <w:r>
        <w:rPr>
          <w:rFonts w:cs="Microsoft Uighur"/>
          <w:szCs w:val="28"/>
          <w:rtl/>
        </w:rPr>
        <w:t>المستجدة، تفسيراً يتم في إطار عدم المخالفة مع النواة الأصلية في فكرة الواضعين  ل</w:t>
      </w:r>
      <w:r>
        <w:rPr>
          <w:rFonts w:cs="Microsoft Uighur"/>
          <w:szCs w:val="28"/>
          <w:rtl/>
        </w:rPr>
        <w:t xml:space="preserve">ه والفلسفة القائمة عندهم، وإن لم يصرحوا أو يشيروا إلى محتوى هذا التفسير.  وهذا هو معنى هذا الاتجاه.  </w:t>
      </w:r>
    </w:p>
    <w:p w14:paraId="56E28235" w14:textId="77777777" w:rsidR="00A77B3E" w:rsidRDefault="008B0C2C">
      <w:pPr>
        <w:bidi/>
        <w:spacing w:line="360" w:lineRule="auto"/>
        <w:jc w:val="lowKashida"/>
        <w:rPr>
          <w:rFonts w:cs="Microsoft Uighur"/>
          <w:szCs w:val="28"/>
          <w:rtl/>
        </w:rPr>
      </w:pPr>
      <w:r>
        <w:rPr>
          <w:rFonts w:cs="Microsoft Uighur"/>
          <w:szCs w:val="28"/>
          <w:rtl/>
        </w:rPr>
        <w:t>النقطة الثانية: لا تستقيم لروح القانون المصداقية إلا على أساس الاتجاه الثاني  والثالث: إن الاتجاهين الثاني والثالث يشتركان في أنه يمكن عقلاً على أساسهما ط</w:t>
      </w:r>
      <w:r>
        <w:rPr>
          <w:rFonts w:cs="Microsoft Uighur"/>
          <w:szCs w:val="28"/>
          <w:rtl/>
        </w:rPr>
        <w:t>رح مقولة "روح القانون"، حيث إن هذه المقولة تنبني على فكرة أن القانون يمتلك روحاً:  سواء اعتبره واضعوه منذ الأول وأدرجوه داخله، أو لم يعتبروه، فإن الذي نسميه روح القانون يتلائم مع المبادئ الفكرية، التي انطلقوا منها في تكوين تصورات وأفكار  ومضامين في وضعهم ل</w:t>
      </w:r>
      <w:r>
        <w:rPr>
          <w:rFonts w:cs="Microsoft Uighur"/>
          <w:szCs w:val="28"/>
          <w:rtl/>
        </w:rPr>
        <w:t xml:space="preserve">لقانون، بينما الاتجاه الأول يبدو أنه يأبى قبول أن تستقيم في  إطاره عمليتا تفسير وتطبيق القانون على أساس روح القانون"، حيث إن </w:t>
      </w:r>
      <w:r>
        <w:rPr>
          <w:rFonts w:cs="Microsoft Uighur"/>
          <w:szCs w:val="28"/>
          <w:rtl/>
        </w:rPr>
        <w:lastRenderedPageBreak/>
        <w:t>روح القانون  تشير إلى منطق: إما لوحظ في القانون من قبل واضعيه وسري كروح فيه عند وضعه، أو  كمن هذا المنطق في نواة أفكارهم ومنطلقاتها</w:t>
      </w:r>
      <w:r>
        <w:rPr>
          <w:rFonts w:cs="Microsoft Uighur"/>
          <w:szCs w:val="28"/>
          <w:rtl/>
        </w:rPr>
        <w:t xml:space="preserve"> فاكتنف القانون به، ومعلوم أن هذه  الفكرة لا تتلائم مع البناء على الفصل بين القانون وواضيعه.  </w:t>
      </w:r>
    </w:p>
    <w:p w14:paraId="4AAA077E" w14:textId="77777777" w:rsidR="00A77B3E" w:rsidRDefault="008B0C2C">
      <w:pPr>
        <w:bidi/>
        <w:spacing w:line="360" w:lineRule="auto"/>
        <w:jc w:val="lowKashida"/>
        <w:rPr>
          <w:rFonts w:cs="Microsoft Uighur"/>
          <w:szCs w:val="28"/>
          <w:rtl/>
        </w:rPr>
      </w:pPr>
      <w:r>
        <w:rPr>
          <w:rFonts w:cs="Microsoft Uighur"/>
          <w:szCs w:val="28"/>
          <w:rtl/>
        </w:rPr>
        <w:t xml:space="preserve">النقطة الثالثة: ما يكشف عنه بالاعتماد على روح القانون: إن الذي يكشف  عنه عبر عملية التركيز على روح القانون أمور ثلاثة:  </w:t>
      </w:r>
    </w:p>
    <w:p w14:paraId="77EE3740" w14:textId="77777777" w:rsidR="00A77B3E" w:rsidRDefault="008B0C2C">
      <w:pPr>
        <w:bidi/>
        <w:spacing w:line="360" w:lineRule="auto"/>
        <w:jc w:val="lowKashida"/>
        <w:rPr>
          <w:rFonts w:cs="Microsoft Uighur"/>
          <w:szCs w:val="28"/>
          <w:rtl/>
        </w:rPr>
      </w:pPr>
      <w:r>
        <w:rPr>
          <w:rFonts w:cs="Microsoft Uighur"/>
          <w:szCs w:val="28"/>
          <w:rtl/>
        </w:rPr>
        <w:t xml:space="preserve">(1) الأفكار التي كان المشرع يمتلكها عند </w:t>
      </w:r>
      <w:r>
        <w:rPr>
          <w:rFonts w:cs="Microsoft Uighur"/>
          <w:szCs w:val="28"/>
          <w:rtl/>
        </w:rPr>
        <w:t xml:space="preserve">قيامه بالتشريع وينطلق منها إليه  ويدرجها فيه عبر اختيار أدبيات و سیاق قانونی خاص  </w:t>
      </w:r>
    </w:p>
    <w:p w14:paraId="08CA8139" w14:textId="77777777" w:rsidR="00A77B3E" w:rsidRDefault="008B0C2C">
      <w:pPr>
        <w:bidi/>
        <w:spacing w:line="360" w:lineRule="auto"/>
        <w:jc w:val="lowKashida"/>
        <w:rPr>
          <w:rFonts w:cs="Microsoft Uighur"/>
          <w:szCs w:val="28"/>
          <w:rtl/>
        </w:rPr>
      </w:pPr>
      <w:r>
        <w:rPr>
          <w:rFonts w:cs="Microsoft Uighur"/>
          <w:szCs w:val="28"/>
          <w:rtl/>
        </w:rPr>
        <w:t xml:space="preserve">(۲) المبادئ الكامنة وراء أفكاره، والتي تكون منطقاً خاصاً يتمتع القانون به.  (٣) الغايات التي كان يهدف إليها تشريعه.  </w:t>
      </w:r>
    </w:p>
    <w:p w14:paraId="5BCC1BA2" w14:textId="77777777" w:rsidR="00A77B3E" w:rsidRDefault="008B0C2C">
      <w:pPr>
        <w:bidi/>
        <w:spacing w:line="360" w:lineRule="auto"/>
        <w:jc w:val="lowKashida"/>
        <w:rPr>
          <w:rFonts w:cs="Microsoft Uighur"/>
          <w:szCs w:val="28"/>
          <w:rtl/>
        </w:rPr>
      </w:pPr>
      <w:r>
        <w:rPr>
          <w:rFonts w:cs="Microsoft Uighur"/>
          <w:szCs w:val="28"/>
          <w:rtl/>
        </w:rPr>
        <w:t>النقطة الرابعة: آليات الكشف في عملية الاعتماد على روح ا</w:t>
      </w:r>
      <w:r>
        <w:rPr>
          <w:rFonts w:cs="Microsoft Uighur"/>
          <w:szCs w:val="28"/>
          <w:rtl/>
        </w:rPr>
        <w:t xml:space="preserve">لقانون: إن القانون  قد تشاهد حوله قرائن ومؤشرات يمكن الاستفادة منها في الكشف عن الأمور الثلاثة  المشار إليها؛ الكشف الذي نسميه بعملية الاعتماد على روح القانون، مثل:  </w:t>
      </w:r>
    </w:p>
    <w:p w14:paraId="404CEAF8" w14:textId="77777777" w:rsidR="00A77B3E" w:rsidRDefault="008B0C2C">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61DF131E" w14:textId="77777777" w:rsidR="00A77B3E" w:rsidRDefault="008B0C2C">
      <w:pPr>
        <w:bidi/>
        <w:spacing w:line="360" w:lineRule="auto"/>
        <w:jc w:val="lowKashida"/>
        <w:rPr>
          <w:rFonts w:cs="Microsoft Uighur"/>
          <w:szCs w:val="28"/>
          <w:rtl/>
        </w:rPr>
      </w:pPr>
      <w:r>
        <w:rPr>
          <w:rFonts w:cs="Microsoft Uighur"/>
          <w:szCs w:val="28"/>
          <w:rtl/>
        </w:rPr>
        <w:t xml:space="preserve">أ - الأدبيات التي استخدمت فيه.  </w:t>
      </w:r>
    </w:p>
    <w:p w14:paraId="45ED5CBC" w14:textId="77777777" w:rsidR="00A77B3E" w:rsidRDefault="008B0C2C">
      <w:pPr>
        <w:bidi/>
        <w:spacing w:line="360" w:lineRule="auto"/>
        <w:jc w:val="lowKashida"/>
        <w:rPr>
          <w:rFonts w:cs="Microsoft Uighur"/>
          <w:szCs w:val="28"/>
          <w:rtl/>
        </w:rPr>
      </w:pPr>
      <w:r>
        <w:rPr>
          <w:rFonts w:cs="Microsoft Uighur"/>
          <w:szCs w:val="28"/>
          <w:rtl/>
        </w:rPr>
        <w:t>ب - وا</w:t>
      </w:r>
      <w:r>
        <w:rPr>
          <w:rFonts w:cs="Microsoft Uighur"/>
          <w:szCs w:val="28"/>
          <w:rtl/>
        </w:rPr>
        <w:t xml:space="preserve">لمذكرات التي جرت بين واضعيه عند وضعه.  </w:t>
      </w:r>
    </w:p>
    <w:p w14:paraId="3E0B7549" w14:textId="77777777" w:rsidR="00A77B3E" w:rsidRDefault="008B0C2C">
      <w:pPr>
        <w:bidi/>
        <w:spacing w:line="360" w:lineRule="auto"/>
        <w:jc w:val="lowKashida"/>
        <w:rPr>
          <w:rFonts w:cs="Microsoft Uighur"/>
          <w:szCs w:val="28"/>
          <w:rtl/>
        </w:rPr>
      </w:pPr>
      <w:r>
        <w:rPr>
          <w:rFonts w:cs="Microsoft Uighur"/>
          <w:szCs w:val="28"/>
          <w:rtl/>
        </w:rPr>
        <w:t xml:space="preserve">ت - والظروف الاجتماعية التي دعت إلى وضعه.  </w:t>
      </w:r>
    </w:p>
    <w:p w14:paraId="589F34F4" w14:textId="77777777" w:rsidR="00A77B3E" w:rsidRDefault="008B0C2C">
      <w:pPr>
        <w:bidi/>
        <w:spacing w:line="360" w:lineRule="auto"/>
        <w:jc w:val="lowKashida"/>
        <w:rPr>
          <w:rFonts w:cs="Microsoft Uighur"/>
          <w:szCs w:val="28"/>
          <w:rtl/>
        </w:rPr>
      </w:pPr>
      <w:r>
        <w:rPr>
          <w:rFonts w:cs="Microsoft Uighur"/>
          <w:szCs w:val="28"/>
          <w:rtl/>
        </w:rPr>
        <w:t xml:space="preserve">ث والسياق الذي يتمتع به.  </w:t>
      </w:r>
    </w:p>
    <w:p w14:paraId="6EBF60C2" w14:textId="77777777" w:rsidR="00A77B3E" w:rsidRDefault="008B0C2C">
      <w:pPr>
        <w:bidi/>
        <w:spacing w:line="360" w:lineRule="auto"/>
        <w:jc w:val="lowKashida"/>
        <w:rPr>
          <w:rFonts w:cs="Microsoft Uighur"/>
          <w:szCs w:val="28"/>
          <w:rtl/>
        </w:rPr>
      </w:pPr>
      <w:r>
        <w:rPr>
          <w:rFonts w:cs="Microsoft Uighur"/>
          <w:szCs w:val="28"/>
          <w:rtl/>
        </w:rPr>
        <w:t xml:space="preserve">ج - ونوعية الاستثناءات المدرجة فيه..... وما إلى ذلك من قرائن ومؤشرات  أخرى.  </w:t>
      </w:r>
    </w:p>
    <w:p w14:paraId="3EEFF6CD" w14:textId="77777777" w:rsidR="00A77B3E" w:rsidRDefault="008B0C2C">
      <w:pPr>
        <w:bidi/>
        <w:spacing w:line="360" w:lineRule="auto"/>
        <w:jc w:val="lowKashida"/>
        <w:rPr>
          <w:rFonts w:cs="Microsoft Uighur"/>
          <w:szCs w:val="28"/>
          <w:rtl/>
        </w:rPr>
      </w:pPr>
      <w:r>
        <w:rPr>
          <w:rFonts w:cs="Microsoft Uighur"/>
          <w:szCs w:val="28"/>
          <w:rtl/>
        </w:rPr>
        <w:t>وهذه القرائن والمؤشرات بسبب كونها متماسكة ومتناسقة يتمكن تحليلها من</w:t>
      </w:r>
      <w:r>
        <w:rPr>
          <w:rFonts w:cs="Microsoft Uighur"/>
          <w:szCs w:val="28"/>
          <w:rtl/>
        </w:rPr>
        <w:t xml:space="preserve"> أن  يلعب دور الآلية للكشف عن الفكرة التي انطلق المقنن منها في وضعه، أو مبادئ فكره  أو الهدف الذي وضع القانون لتحقيقه.  </w:t>
      </w:r>
    </w:p>
    <w:p w14:paraId="16DBE7EC" w14:textId="77777777" w:rsidR="00A77B3E" w:rsidRDefault="008B0C2C">
      <w:pPr>
        <w:bidi/>
        <w:spacing w:line="360" w:lineRule="auto"/>
        <w:jc w:val="lowKashida"/>
        <w:rPr>
          <w:rFonts w:cs="Microsoft Uighur"/>
          <w:szCs w:val="28"/>
          <w:rtl/>
        </w:rPr>
      </w:pPr>
      <w:r>
        <w:rPr>
          <w:rFonts w:cs="Microsoft Uighur"/>
          <w:szCs w:val="28"/>
          <w:rtl/>
        </w:rPr>
        <w:t xml:space="preserve">النقطة الخامسة: الهدف من الكشف هناك أداءات ثلاثة تؤديها عملية  الكشف عن روح القانون، وهي ما يلي:  </w:t>
      </w:r>
    </w:p>
    <w:p w14:paraId="0D5D0D39" w14:textId="77777777" w:rsidR="00A77B3E" w:rsidRDefault="008B0C2C">
      <w:pPr>
        <w:bidi/>
        <w:spacing w:line="360" w:lineRule="auto"/>
        <w:jc w:val="lowKashida"/>
        <w:rPr>
          <w:rFonts w:cs="Microsoft Uighur"/>
          <w:szCs w:val="28"/>
          <w:rtl/>
        </w:rPr>
      </w:pPr>
      <w:r>
        <w:rPr>
          <w:rFonts w:cs="Microsoft Uighur"/>
          <w:szCs w:val="28"/>
          <w:rtl/>
        </w:rPr>
        <w:t xml:space="preserve">الأول: تكميل القانون، بمعنى أنه إذا أراد المقنن أن يُكمل القانون الذي من من  قبل، فهو يستخدم ويلجأ إلى روح القانون.  </w:t>
      </w:r>
    </w:p>
    <w:p w14:paraId="45D0F7EF" w14:textId="77777777" w:rsidR="00A77B3E" w:rsidRDefault="008B0C2C">
      <w:pPr>
        <w:bidi/>
        <w:spacing w:line="360" w:lineRule="auto"/>
        <w:jc w:val="lowKashida"/>
        <w:rPr>
          <w:rFonts w:cs="Microsoft Uighur"/>
          <w:szCs w:val="28"/>
          <w:rtl/>
        </w:rPr>
      </w:pPr>
      <w:r>
        <w:rPr>
          <w:rFonts w:cs="Microsoft Uighur"/>
          <w:szCs w:val="28"/>
          <w:rtl/>
        </w:rPr>
        <w:t xml:space="preserve">الثاني: تفسير القانون.  </w:t>
      </w:r>
    </w:p>
    <w:p w14:paraId="7CC45673" w14:textId="77777777" w:rsidR="00A77B3E" w:rsidRDefault="008B0C2C">
      <w:pPr>
        <w:bidi/>
        <w:spacing w:line="360" w:lineRule="auto"/>
        <w:jc w:val="lowKashida"/>
        <w:rPr>
          <w:rFonts w:cs="Microsoft Uighur"/>
          <w:szCs w:val="28"/>
          <w:rtl/>
        </w:rPr>
      </w:pPr>
      <w:r>
        <w:rPr>
          <w:rFonts w:cs="Microsoft Uighur"/>
          <w:szCs w:val="28"/>
          <w:rtl/>
        </w:rPr>
        <w:t xml:space="preserve">الثالث: تطبيق </w:t>
      </w:r>
      <w:r>
        <w:rPr>
          <w:rFonts w:cs="Microsoft Uighur"/>
          <w:szCs w:val="28"/>
          <w:rtl/>
        </w:rPr>
        <w:t xml:space="preserve">القانون.  </w:t>
      </w:r>
    </w:p>
    <w:p w14:paraId="133576B0" w14:textId="77777777" w:rsidR="00A77B3E" w:rsidRDefault="008B0C2C">
      <w:pPr>
        <w:bidi/>
        <w:spacing w:line="360" w:lineRule="auto"/>
        <w:jc w:val="lowKashida"/>
        <w:rPr>
          <w:rFonts w:cs="Microsoft Uighur"/>
          <w:szCs w:val="28"/>
          <w:rtl/>
        </w:rPr>
      </w:pPr>
      <w:r>
        <w:rPr>
          <w:rFonts w:cs="Microsoft Uighur"/>
          <w:szCs w:val="28"/>
          <w:rtl/>
        </w:rPr>
        <w:t xml:space="preserve">الرابع: مقارنة القانون مع القوانين الأخرى؛ فإن هذه المقارنة تستمد حيويتها  وموفقيتها من النظر إلى روح القانون.  </w:t>
      </w:r>
    </w:p>
    <w:p w14:paraId="0516E9A0" w14:textId="77777777" w:rsidR="00A77B3E" w:rsidRDefault="008B0C2C">
      <w:pPr>
        <w:bidi/>
        <w:spacing w:line="360" w:lineRule="auto"/>
        <w:jc w:val="lowKashida"/>
        <w:rPr>
          <w:rFonts w:cs="Microsoft Uighur"/>
          <w:szCs w:val="28"/>
          <w:rtl/>
        </w:rPr>
      </w:pPr>
      <w:r>
        <w:rPr>
          <w:rFonts w:cs="Microsoft Uighur"/>
          <w:szCs w:val="28"/>
          <w:rtl/>
        </w:rPr>
        <w:t xml:space="preserve">روح الشريعة:  </w:t>
      </w:r>
    </w:p>
    <w:p w14:paraId="5B0D4EA1" w14:textId="77777777" w:rsidR="00A77B3E" w:rsidRDefault="008B0C2C">
      <w:pPr>
        <w:bidi/>
        <w:spacing w:line="360" w:lineRule="auto"/>
        <w:jc w:val="lowKashida"/>
        <w:rPr>
          <w:rFonts w:cs="Microsoft Uighur"/>
          <w:szCs w:val="28"/>
          <w:rtl/>
        </w:rPr>
      </w:pPr>
      <w:r>
        <w:rPr>
          <w:rFonts w:cs="Microsoft Uighur"/>
          <w:szCs w:val="28"/>
          <w:rtl/>
        </w:rPr>
        <w:t xml:space="preserve">ما هي حقيقة "روح الشريعة " ؟ نتحدث عن ذلك في عدة نقاط:  </w:t>
      </w:r>
    </w:p>
    <w:p w14:paraId="288E5679" w14:textId="77777777" w:rsidR="00A77B3E" w:rsidRDefault="008B0C2C">
      <w:pPr>
        <w:bidi/>
        <w:spacing w:line="360" w:lineRule="auto"/>
        <w:jc w:val="lowKashida"/>
        <w:rPr>
          <w:rFonts w:cs="Microsoft Uighur"/>
          <w:szCs w:val="28"/>
          <w:rtl/>
        </w:rPr>
      </w:pPr>
      <w:r>
        <w:rPr>
          <w:rFonts w:cs="Microsoft Uighur"/>
          <w:szCs w:val="28"/>
          <w:rtl/>
        </w:rPr>
        <w:t>النقطة الأولى: إن روح الشريعة موجودة في أدبياتنا الفقهية، بح</w:t>
      </w:r>
      <w:r>
        <w:rPr>
          <w:rFonts w:cs="Microsoft Uighur"/>
          <w:szCs w:val="28"/>
          <w:rtl/>
        </w:rPr>
        <w:t xml:space="preserve">يث بالفحص في  الفقه نصل إلى هذه المفردة الأساسية الهامة، وببيان آخر: إذا درسنا الشريعة بمجموعها  دراسة هادفة إلى الوصول إلى عمقها وما وراءها من أهداف، فسنجد أن روح الشريعة  </w:t>
      </w:r>
    </w:p>
    <w:p w14:paraId="77982D94" w14:textId="77777777" w:rsidR="00A77B3E" w:rsidRDefault="008B0C2C">
      <w:pPr>
        <w:bidi/>
        <w:spacing w:line="360" w:lineRule="auto"/>
        <w:jc w:val="lowKashida"/>
        <w:rPr>
          <w:rFonts w:cs="Microsoft Uighur"/>
          <w:szCs w:val="28"/>
          <w:rtl/>
        </w:rPr>
      </w:pPr>
      <w:r>
        <w:rPr>
          <w:rFonts w:cs="Microsoft Uighur"/>
          <w:szCs w:val="28"/>
          <w:rtl/>
        </w:rPr>
        <w:t xml:space="preserve">الفقه المقارن - العددان (٣-٣) السنة الأولى ٫ ربيع - صيف ٢٠١٣م  </w:t>
      </w:r>
    </w:p>
    <w:p w14:paraId="24198DDD" w14:textId="77777777" w:rsidR="00A77B3E" w:rsidRDefault="008B0C2C">
      <w:pPr>
        <w:bidi/>
        <w:spacing w:line="360" w:lineRule="auto"/>
        <w:jc w:val="lowKashida"/>
        <w:rPr>
          <w:rFonts w:cs="Microsoft Uighur"/>
          <w:szCs w:val="28"/>
          <w:rtl/>
        </w:rPr>
      </w:pPr>
      <w:r>
        <w:rPr>
          <w:rFonts w:cs="Microsoft Uighur"/>
          <w:szCs w:val="28"/>
          <w:rtl/>
        </w:rPr>
        <w:t>نظرية بناء القانون</w:t>
      </w:r>
      <w:r>
        <w:rPr>
          <w:rFonts w:cs="Microsoft Uighur"/>
          <w:szCs w:val="28"/>
          <w:rtl/>
        </w:rPr>
        <w:t xml:space="preserve"> على روح الشريعة  </w:t>
      </w:r>
    </w:p>
    <w:p w14:paraId="03641DF2" w14:textId="77777777" w:rsidR="00A77B3E" w:rsidRDefault="008B0C2C">
      <w:pPr>
        <w:bidi/>
        <w:spacing w:line="360" w:lineRule="auto"/>
        <w:jc w:val="lowKashida"/>
        <w:rPr>
          <w:rFonts w:cs="Microsoft Uighur"/>
          <w:szCs w:val="28"/>
          <w:rtl/>
        </w:rPr>
      </w:pPr>
      <w:r>
        <w:rPr>
          <w:rFonts w:cs="Microsoft Uighur"/>
          <w:szCs w:val="28"/>
          <w:rtl/>
        </w:rPr>
        <w:t xml:space="preserve">حاضرة في أدبياتنا الفقهية؛ غير أن هذه المفردة ظلت في فقهنا هامشية، وبالرغم من  ذلك يمكن تفعيلها والتركيز عليها أكثر، فبالتركيز عليها يمكن جعل الفقه أكثر عقلانية  ودقة وتجاوباً مع القانون.  </w:t>
      </w:r>
    </w:p>
    <w:p w14:paraId="32DD8B68" w14:textId="77777777" w:rsidR="00A77B3E" w:rsidRDefault="008B0C2C">
      <w:pPr>
        <w:bidi/>
        <w:spacing w:line="360" w:lineRule="auto"/>
        <w:jc w:val="lowKashida"/>
        <w:rPr>
          <w:rFonts w:cs="Microsoft Uighur"/>
          <w:szCs w:val="28"/>
          <w:rtl/>
        </w:rPr>
      </w:pPr>
      <w:r>
        <w:rPr>
          <w:rFonts w:cs="Microsoft Uighur"/>
          <w:szCs w:val="28"/>
          <w:rtl/>
        </w:rPr>
        <w:lastRenderedPageBreak/>
        <w:t xml:space="preserve">النقطة الثانية: إن روح الشريعة ظاهرة متشابهة تماماً مع روح القانون، لكن مع  هذا الفارق فروح الشريعة تجري في أحكام الشرع وروح القانون في القانون.  </w:t>
      </w:r>
    </w:p>
    <w:p w14:paraId="7839DAFC" w14:textId="77777777" w:rsidR="00A77B3E" w:rsidRDefault="008B0C2C">
      <w:pPr>
        <w:bidi/>
        <w:spacing w:line="360" w:lineRule="auto"/>
        <w:jc w:val="lowKashida"/>
        <w:rPr>
          <w:rFonts w:cs="Microsoft Uighur"/>
          <w:szCs w:val="28"/>
          <w:rtl/>
        </w:rPr>
      </w:pPr>
      <w:r>
        <w:rPr>
          <w:rFonts w:cs="Microsoft Uighur"/>
          <w:szCs w:val="28"/>
          <w:rtl/>
        </w:rPr>
        <w:t>النقطة الثالثة: إن الذي يمكن الاعتماد عليه كدليل على ثبوت روح الشريعة هو  بطلان فكرة أنها جاءت دون أي غاية أو</w:t>
      </w:r>
      <w:r>
        <w:rPr>
          <w:rFonts w:cs="Microsoft Uighur"/>
          <w:szCs w:val="28"/>
          <w:rtl/>
        </w:rPr>
        <w:t xml:space="preserve"> هدف، وأن الله وضع شريعة غير متماسكة فيما  بينها، وفاقدة للمقاصد والأهداف وغير متمتعة بالترابط والتجاوب بين أجزائها!  </w:t>
      </w:r>
    </w:p>
    <w:p w14:paraId="5E92FD51" w14:textId="77777777" w:rsidR="00A77B3E" w:rsidRDefault="008B0C2C">
      <w:pPr>
        <w:bidi/>
        <w:spacing w:line="360" w:lineRule="auto"/>
        <w:jc w:val="lowKashida"/>
        <w:rPr>
          <w:rFonts w:cs="Microsoft Uighur"/>
          <w:szCs w:val="28"/>
          <w:rtl/>
        </w:rPr>
      </w:pPr>
      <w:r>
        <w:rPr>
          <w:rFonts w:cs="Microsoft Uighur"/>
          <w:szCs w:val="28"/>
          <w:rtl/>
        </w:rPr>
        <w:t>ذلك إننا إذا قلنا بعدم امتلاك الشريعة للترابط، فإنه يستلزم القول بعبثية أمر  التشريع، وهذا مما لا يمكن قبوله، ونحن بوصفنا بشراً عاديين، ع</w:t>
      </w:r>
      <w:r>
        <w:rPr>
          <w:rFonts w:cs="Microsoft Uighur"/>
          <w:szCs w:val="28"/>
          <w:rtl/>
        </w:rPr>
        <w:t xml:space="preserve">ندما نقوم بوضع  القوانين فلنا غايات وأهداف منها، فكيف بالله عز وجل وهو المشرع الحكيم عند  وضعه للتشريعات والأحكام.  </w:t>
      </w:r>
    </w:p>
    <w:p w14:paraId="480CEB5C" w14:textId="77777777" w:rsidR="00A77B3E" w:rsidRDefault="008B0C2C">
      <w:pPr>
        <w:bidi/>
        <w:spacing w:line="360" w:lineRule="auto"/>
        <w:jc w:val="lowKashida"/>
        <w:rPr>
          <w:rFonts w:cs="Microsoft Uighur"/>
          <w:szCs w:val="28"/>
          <w:rtl/>
        </w:rPr>
      </w:pPr>
      <w:r>
        <w:rPr>
          <w:rFonts w:cs="Microsoft Uighur"/>
          <w:szCs w:val="28"/>
          <w:rtl/>
        </w:rPr>
        <w:t>النقطة الرابعة على الرغم من ضرورة وأهمية فقه روح الشريعة، فلا بد لنا أن  نعترف بأن فن التعرف على روح الشريعة لا يزال في مرحلة ما قبل الإنشا</w:t>
      </w:r>
      <w:r>
        <w:rPr>
          <w:rFonts w:cs="Microsoft Uighur"/>
          <w:szCs w:val="28"/>
          <w:rtl/>
        </w:rPr>
        <w:t>ء والتولد.  وعند ما نقول: إنه في مرحلة ما قبل التولد، لا نريد بذلك نفى حصول أي نظر أو  أدبيات فقهية حوله في التجربة الفقهية الرائجة، فهناك بعض الالتفات تم من قبل بعض  الفقهاء إليها ، بل نريد القول: إن ما تشكل حوله لم يبرز في إطار فن فقهي خاص  يجلب البحث، و</w:t>
      </w:r>
      <w:r>
        <w:rPr>
          <w:rFonts w:cs="Microsoft Uighur"/>
          <w:szCs w:val="28"/>
          <w:rtl/>
        </w:rPr>
        <w:t xml:space="preserve">يلفت النظر العلمى، بل ليس له بروز وظهور أصلاً لقلة حجمه، وأكثر  شيء يمكننا أن ندعيه، هو أنه موجود في الفقه بحجم ضئيل (۲)  </w:t>
      </w:r>
    </w:p>
    <w:p w14:paraId="32AE0795" w14:textId="77777777" w:rsidR="00A77B3E" w:rsidRDefault="008B0C2C">
      <w:pPr>
        <w:bidi/>
        <w:spacing w:line="360" w:lineRule="auto"/>
        <w:jc w:val="lowKashida"/>
        <w:rPr>
          <w:rFonts w:cs="Microsoft Uighur"/>
          <w:szCs w:val="28"/>
          <w:rtl/>
        </w:rPr>
      </w:pPr>
      <w:r>
        <w:rPr>
          <w:rFonts w:cs="Microsoft Uighur"/>
          <w:szCs w:val="28"/>
          <w:rtl/>
        </w:rPr>
        <w:t xml:space="preserve">النقطة الخامسة: أهم ما نحتاج إليه للوصول إلى روح الشريعة، الكشف عن  منهجيته، ويُمكن القول إن رصد اعتناءات الشارع من جملة ما يمكنه أن </w:t>
      </w:r>
      <w:r>
        <w:rPr>
          <w:rFonts w:cs="Microsoft Uighur"/>
          <w:szCs w:val="28"/>
          <w:rtl/>
        </w:rPr>
        <w:t xml:space="preserve">يوصلنا  إليها.  </w:t>
      </w:r>
    </w:p>
    <w:p w14:paraId="5965ACD4" w14:textId="77777777" w:rsidR="00A77B3E" w:rsidRDefault="008B0C2C">
      <w:pPr>
        <w:bidi/>
        <w:spacing w:line="360" w:lineRule="auto"/>
        <w:jc w:val="lowKashida"/>
        <w:rPr>
          <w:rFonts w:cs="Microsoft Uighur"/>
          <w:szCs w:val="28"/>
          <w:rtl/>
        </w:rPr>
      </w:pPr>
      <w:r>
        <w:rPr>
          <w:rFonts w:cs="Microsoft Uighur"/>
          <w:szCs w:val="28"/>
          <w:rtl/>
        </w:rPr>
        <w:t xml:space="preserve">النقطة السادسة: عندما نتكلم عن روح الشريعة فإن هناك صفات وخصائص  </w:t>
      </w:r>
    </w:p>
    <w:p w14:paraId="2CA428B8" w14:textId="77777777" w:rsidR="00A77B3E" w:rsidRDefault="008B0C2C">
      <w:pPr>
        <w:bidi/>
        <w:spacing w:line="360" w:lineRule="auto"/>
        <w:jc w:val="lowKashida"/>
        <w:rPr>
          <w:rFonts w:cs="Microsoft Uighur"/>
          <w:szCs w:val="28"/>
          <w:rtl/>
        </w:rPr>
      </w:pPr>
      <w:r>
        <w:rPr>
          <w:rFonts w:cs="Microsoft Uighur"/>
          <w:szCs w:val="28"/>
          <w:rtl/>
        </w:rPr>
        <w:t xml:space="preserve">ملف العدد: تقنين الفقه الإسلامي: الواقع والآفاق  </w:t>
      </w:r>
    </w:p>
    <w:p w14:paraId="30BADD4E" w14:textId="77777777" w:rsidR="00A77B3E" w:rsidRDefault="008B0C2C">
      <w:pPr>
        <w:bidi/>
        <w:spacing w:line="360" w:lineRule="auto"/>
        <w:jc w:val="lowKashida"/>
        <w:rPr>
          <w:rFonts w:cs="Microsoft Uighur"/>
          <w:szCs w:val="28"/>
          <w:rtl/>
        </w:rPr>
      </w:pPr>
      <w:r>
        <w:rPr>
          <w:rFonts w:cs="Microsoft Uighur"/>
          <w:szCs w:val="28"/>
          <w:rtl/>
        </w:rPr>
        <w:t xml:space="preserve">كامنة فيها، يمكن بالنظر إلى هذه الصفات القيام بعملية نفث روح الشريعة في القانون  ونشير هنا إلى صفتين  </w:t>
      </w:r>
    </w:p>
    <w:p w14:paraId="0BC8D799" w14:textId="77777777" w:rsidR="00A77B3E" w:rsidRDefault="008B0C2C">
      <w:pPr>
        <w:bidi/>
        <w:spacing w:line="360" w:lineRule="auto"/>
        <w:jc w:val="lowKashida"/>
        <w:rPr>
          <w:rFonts w:cs="Microsoft Uighur"/>
          <w:szCs w:val="28"/>
          <w:rtl/>
        </w:rPr>
      </w:pPr>
      <w:r>
        <w:rPr>
          <w:rFonts w:cs="Microsoft Uighur"/>
          <w:szCs w:val="28"/>
          <w:rtl/>
        </w:rPr>
        <w:t>الأولى: كون روح الشر</w:t>
      </w:r>
      <w:r>
        <w:rPr>
          <w:rFonts w:cs="Microsoft Uighur"/>
          <w:szCs w:val="28"/>
          <w:rtl/>
        </w:rPr>
        <w:t>يعة جارية وسارية داخل مجموعة من الأحكام إن  لفظة الروح تستخدم فيما إذا كانت هناك مجموعة واحدة لها أجزاء تتعلق هي بها،  وتكون في داخلها وجارية في أجزائها، وفى هذا الإطار يمكن أن يقال: إنه من اللازم  تخصيص جملة من فرص علم الفقه لروح الشريعة وتوجيهها إلى استن</w:t>
      </w:r>
      <w:r>
        <w:rPr>
          <w:rFonts w:cs="Microsoft Uighur"/>
          <w:szCs w:val="28"/>
          <w:rtl/>
        </w:rPr>
        <w:t>باط مجموعات  الأحكام المتعلقة بموضوع خاص بالتركيز على الروح التي نفتها الشارع فيها، ومعلوم  أن الدارج حالياً هو استنباط أحكام فقهية منفصلة عن غيرها. والحقيقة أن المدارس  الفقهية العلمية فى العالم الإسلامي تتمكن بكل ما لديها من أدوات أصولية ومنهجية  من الدخ</w:t>
      </w:r>
      <w:r>
        <w:rPr>
          <w:rFonts w:cs="Microsoft Uighur"/>
          <w:szCs w:val="28"/>
          <w:rtl/>
        </w:rPr>
        <w:t xml:space="preserve">ول في عملية استنباط الروح الكامنة في مجموعات الأحكام بهدف عرضها  على القانونيين كي يدخلوها في قوانينهم.  </w:t>
      </w:r>
    </w:p>
    <w:p w14:paraId="3303CF64" w14:textId="77777777" w:rsidR="00A77B3E" w:rsidRDefault="008B0C2C">
      <w:pPr>
        <w:bidi/>
        <w:spacing w:line="360" w:lineRule="auto"/>
        <w:jc w:val="lowKashida"/>
        <w:rPr>
          <w:rFonts w:cs="Microsoft Uighur"/>
          <w:szCs w:val="28"/>
          <w:rtl/>
        </w:rPr>
      </w:pPr>
      <w:r>
        <w:rPr>
          <w:rFonts w:cs="Microsoft Uighur"/>
          <w:szCs w:val="28"/>
          <w:rtl/>
        </w:rPr>
        <w:t>الثانية كل مجموعة تمتلك روح الشريعة هي منظومة المجموعات التي تحمل  روح الشريعة تتمتع بكونها منظومية تحتوي على أحكام فقهية متماسكة، ترمى إلى  تحقيق أهد</w:t>
      </w:r>
      <w:r>
        <w:rPr>
          <w:rFonts w:cs="Microsoft Uighur"/>
          <w:szCs w:val="28"/>
          <w:rtl/>
        </w:rPr>
        <w:t xml:space="preserve">اف واحدة، وتنبع هذه الوحدة المنظومية من الروح المعطاة إليها.  </w:t>
      </w:r>
    </w:p>
    <w:p w14:paraId="3437FBC2" w14:textId="77777777" w:rsidR="00A77B3E" w:rsidRDefault="008B0C2C">
      <w:pPr>
        <w:bidi/>
        <w:spacing w:line="360" w:lineRule="auto"/>
        <w:jc w:val="lowKashida"/>
        <w:rPr>
          <w:rFonts w:cs="Microsoft Uighur"/>
          <w:szCs w:val="28"/>
          <w:rtl/>
        </w:rPr>
      </w:pPr>
      <w:r>
        <w:rPr>
          <w:rFonts w:cs="Microsoft Uighur"/>
          <w:szCs w:val="28"/>
          <w:rtl/>
        </w:rPr>
        <w:t xml:space="preserve">على سبيل المثال: إننا عندما نستنبط مجموعة الأحكام المتعلقة بالملكية، نرى  وجود روح واحدة تحكمها حاضرة في جميع أحكام تلك المجموعة الفقهية.  </w:t>
      </w:r>
    </w:p>
    <w:p w14:paraId="62C1FF71" w14:textId="77777777" w:rsidR="00A77B3E" w:rsidRDefault="008B0C2C">
      <w:pPr>
        <w:bidi/>
        <w:spacing w:line="360" w:lineRule="auto"/>
        <w:jc w:val="lowKashida"/>
        <w:rPr>
          <w:rFonts w:cs="Microsoft Uighur"/>
          <w:szCs w:val="28"/>
          <w:rtl/>
        </w:rPr>
      </w:pPr>
      <w:r>
        <w:rPr>
          <w:rFonts w:cs="Microsoft Uighur"/>
          <w:szCs w:val="28"/>
          <w:rtl/>
        </w:rPr>
        <w:t>وعليه فروح الشريعة أولاً تتعلق بالمجموعات، وثانياً تت</w:t>
      </w:r>
      <w:r>
        <w:rPr>
          <w:rFonts w:cs="Microsoft Uighur"/>
          <w:szCs w:val="28"/>
          <w:rtl/>
        </w:rPr>
        <w:t xml:space="preserve">علق بالمجموعات  المنظومة التي لها أهداف واحدة مستلهمة من تلك الروح. وهنا بالضبط يتقارن الفقه  الواجد لروح الشريعة مع القانون الذي له روح خاصة يعبر عنها بروح القانون؛ ذلك أن  في القانون لفظة قد تستعمل وهى النظام الحقوقى والمقصود منه ليس ذلك النظام  الحقوقي </w:t>
      </w:r>
      <w:r>
        <w:rPr>
          <w:rFonts w:cs="Microsoft Uighur"/>
          <w:szCs w:val="28"/>
          <w:rtl/>
        </w:rPr>
        <w:t>الشامل، كالقانون المشترك (</w:t>
      </w:r>
      <w:r>
        <w:rPr>
          <w:rFonts w:cs="Microsoft Uighur"/>
          <w:szCs w:val="28"/>
        </w:rPr>
        <w:t>common law</w:t>
      </w:r>
      <w:r>
        <w:rPr>
          <w:rFonts w:cs="Microsoft Uighur"/>
          <w:szCs w:val="28"/>
          <w:rtl/>
        </w:rPr>
        <w:t>) أو القانون المدنى (</w:t>
      </w:r>
      <w:r>
        <w:rPr>
          <w:rFonts w:cs="Microsoft Uighur"/>
          <w:szCs w:val="28"/>
        </w:rPr>
        <w:t>civil law</w:t>
      </w:r>
      <w:r>
        <w:rPr>
          <w:rFonts w:cs="Microsoft Uighur"/>
          <w:szCs w:val="28"/>
          <w:rtl/>
        </w:rPr>
        <w:t xml:space="preserve">)  والذي قد </w:t>
      </w:r>
      <w:r>
        <w:rPr>
          <w:rFonts w:cs="Microsoft Uighur"/>
          <w:szCs w:val="28"/>
          <w:rtl/>
        </w:rPr>
        <w:lastRenderedPageBreak/>
        <w:t>يعبر عنه بالمدرسة الرومانو - جرمانية (</w:t>
      </w:r>
      <w:proofErr w:type="spellStart"/>
      <w:r>
        <w:rPr>
          <w:rFonts w:cs="Microsoft Uighur"/>
          <w:szCs w:val="28"/>
        </w:rPr>
        <w:t>romany</w:t>
      </w:r>
      <w:proofErr w:type="spellEnd"/>
      <w:r>
        <w:rPr>
          <w:rFonts w:cs="Microsoft Uighur"/>
          <w:szCs w:val="28"/>
        </w:rPr>
        <w:t xml:space="preserve"> Germany</w:t>
      </w:r>
      <w:r>
        <w:rPr>
          <w:rFonts w:cs="Microsoft Uighur"/>
          <w:szCs w:val="28"/>
          <w:rtl/>
        </w:rPr>
        <w:t xml:space="preserve">)، بل  المقصود هو النظام الحقوقي الذي يطرح في كل مجال من المجالات، والذي هو غير  النظام الحقوقي الذي لمجال آخر، فمثلاً النظام </w:t>
      </w:r>
      <w:r>
        <w:rPr>
          <w:rFonts w:cs="Microsoft Uighur"/>
          <w:szCs w:val="28"/>
          <w:rtl/>
        </w:rPr>
        <w:t xml:space="preserve">الحقوقي في مجال الملكية أو التجارة  </w:t>
      </w:r>
    </w:p>
    <w:p w14:paraId="47717435" w14:textId="77777777" w:rsidR="00A77B3E" w:rsidRDefault="008B0C2C">
      <w:pPr>
        <w:bidi/>
        <w:spacing w:line="360" w:lineRule="auto"/>
        <w:jc w:val="lowKashida"/>
        <w:rPr>
          <w:rFonts w:cs="Microsoft Uighur"/>
          <w:szCs w:val="28"/>
          <w:rtl/>
        </w:rPr>
      </w:pPr>
      <w:r>
        <w:rPr>
          <w:rFonts w:cs="Microsoft Uighur"/>
          <w:szCs w:val="28"/>
          <w:rtl/>
        </w:rPr>
        <w:t xml:space="preserve">۱۸  </w:t>
      </w:r>
    </w:p>
    <w:p w14:paraId="6683ED25" w14:textId="77777777" w:rsidR="00A77B3E" w:rsidRDefault="008B0C2C">
      <w:pPr>
        <w:bidi/>
        <w:spacing w:line="360" w:lineRule="auto"/>
        <w:jc w:val="lowKashida"/>
        <w:rPr>
          <w:rFonts w:cs="Microsoft Uighur"/>
          <w:szCs w:val="28"/>
          <w:rtl/>
        </w:rPr>
      </w:pPr>
      <w:r>
        <w:rPr>
          <w:rFonts w:cs="Microsoft Uighur"/>
          <w:szCs w:val="28"/>
          <w:rtl/>
        </w:rPr>
        <w:t xml:space="preserve">- الفقه المقارن - العددان (۲-۳) السنة الأولى ربيع - صيف ٢٠١٣ م : </w:t>
      </w:r>
    </w:p>
    <w:p w14:paraId="6E2D80C0" w14:textId="77777777" w:rsidR="00A77B3E" w:rsidRDefault="008B0C2C">
      <w:pPr>
        <w:bidi/>
        <w:spacing w:line="360" w:lineRule="auto"/>
        <w:jc w:val="lowKashida"/>
        <w:rPr>
          <w:rFonts w:cs="Microsoft Uighur"/>
          <w:szCs w:val="28"/>
          <w:rtl/>
        </w:rPr>
      </w:pPr>
      <w:r>
        <w:rPr>
          <w:rFonts w:cs="Microsoft Uighur"/>
          <w:szCs w:val="28"/>
          <w:rtl/>
        </w:rPr>
        <w:t xml:space="preserve">نظرية بناء القانون على روح الشريعة  </w:t>
      </w:r>
    </w:p>
    <w:p w14:paraId="62B13D8F" w14:textId="77777777" w:rsidR="00A77B3E" w:rsidRDefault="008B0C2C">
      <w:pPr>
        <w:bidi/>
        <w:spacing w:line="360" w:lineRule="auto"/>
        <w:jc w:val="lowKashida"/>
        <w:rPr>
          <w:rFonts w:cs="Microsoft Uighur"/>
          <w:szCs w:val="28"/>
          <w:rtl/>
        </w:rPr>
      </w:pPr>
      <w:r>
        <w:rPr>
          <w:rFonts w:cs="Microsoft Uighur"/>
          <w:szCs w:val="28"/>
          <w:rtl/>
        </w:rPr>
        <w:t xml:space="preserve">أو الإعسار أو مجال الملكية الفكرية هو غير النظام الحقوقي الذي لغيره. لأن النظام  الحقوقي هو الذي تكون القوانين </w:t>
      </w:r>
      <w:r>
        <w:rPr>
          <w:rFonts w:cs="Microsoft Uighur"/>
          <w:szCs w:val="28"/>
          <w:rtl/>
        </w:rPr>
        <w:t xml:space="preserve">فيه ترتبط وتتماسك فيما بينها، مما يجعلها تكون  وتشكل ذلك النظام الحقوقي.  </w:t>
      </w:r>
    </w:p>
    <w:p w14:paraId="449381DF" w14:textId="77777777" w:rsidR="00A77B3E" w:rsidRDefault="008B0C2C">
      <w:pPr>
        <w:bidi/>
        <w:spacing w:line="360" w:lineRule="auto"/>
        <w:jc w:val="lowKashida"/>
        <w:rPr>
          <w:rFonts w:cs="Microsoft Uighur"/>
          <w:szCs w:val="28"/>
          <w:rtl/>
        </w:rPr>
      </w:pPr>
      <w:r>
        <w:rPr>
          <w:rFonts w:cs="Microsoft Uighur"/>
          <w:szCs w:val="28"/>
          <w:rtl/>
        </w:rPr>
        <w:t xml:space="preserve">النقطة السابعة مجالات الاستفادة من روح الشريعة  </w:t>
      </w:r>
    </w:p>
    <w:p w14:paraId="69EA2991" w14:textId="77777777" w:rsidR="00A77B3E" w:rsidRDefault="008B0C2C">
      <w:pPr>
        <w:bidi/>
        <w:spacing w:line="360" w:lineRule="auto"/>
        <w:jc w:val="lowKashida"/>
        <w:rPr>
          <w:rFonts w:cs="Microsoft Uighur"/>
          <w:szCs w:val="28"/>
          <w:rtl/>
        </w:rPr>
      </w:pPr>
      <w:r>
        <w:rPr>
          <w:rFonts w:cs="Microsoft Uighur"/>
          <w:szCs w:val="28"/>
          <w:rtl/>
        </w:rPr>
        <w:t xml:space="preserve">يستفاد من روح الشريعة في الموارد التالية:  </w:t>
      </w:r>
    </w:p>
    <w:p w14:paraId="57498C8C" w14:textId="77777777" w:rsidR="00A77B3E" w:rsidRDefault="008B0C2C">
      <w:pPr>
        <w:bidi/>
        <w:spacing w:line="360" w:lineRule="auto"/>
        <w:jc w:val="lowKashida"/>
        <w:rPr>
          <w:rFonts w:cs="Microsoft Uighur"/>
          <w:szCs w:val="28"/>
          <w:rtl/>
        </w:rPr>
      </w:pPr>
      <w:r>
        <w:rPr>
          <w:rFonts w:cs="Microsoft Uighur"/>
          <w:szCs w:val="28"/>
          <w:rtl/>
        </w:rPr>
        <w:t xml:space="preserve">التقنين لإن روح القانون تختلف عن روح الشريعة في هذا المجال  فروح القانون يستنبط بعد أن يتم وضع القانون، لكن روح الشريعة يمكن الاستفادة  منها في استنباط ما ينفع القانون عند وضعه.  </w:t>
      </w:r>
    </w:p>
    <w:p w14:paraId="3BA1ADC7" w14:textId="77777777" w:rsidR="00A77B3E" w:rsidRDefault="008B0C2C">
      <w:pPr>
        <w:bidi/>
        <w:spacing w:line="360" w:lineRule="auto"/>
        <w:jc w:val="lowKashida"/>
        <w:rPr>
          <w:rFonts w:cs="Microsoft Uighur"/>
          <w:szCs w:val="28"/>
          <w:rtl/>
        </w:rPr>
      </w:pPr>
      <w:r>
        <w:rPr>
          <w:rFonts w:cs="Microsoft Uighur"/>
          <w:szCs w:val="28"/>
          <w:rtl/>
        </w:rPr>
        <w:t xml:space="preserve">٢- تفسير القانون.  </w:t>
      </w:r>
    </w:p>
    <w:p w14:paraId="449479BE" w14:textId="77777777" w:rsidR="00A77B3E" w:rsidRDefault="008B0C2C">
      <w:pPr>
        <w:bidi/>
        <w:spacing w:line="360" w:lineRule="auto"/>
        <w:jc w:val="lowKashida"/>
        <w:rPr>
          <w:rFonts w:cs="Microsoft Uighur"/>
          <w:szCs w:val="28"/>
          <w:rtl/>
        </w:rPr>
      </w:pPr>
      <w:r>
        <w:rPr>
          <w:rFonts w:cs="Microsoft Uighur"/>
          <w:szCs w:val="28"/>
          <w:rtl/>
        </w:rPr>
        <w:t xml:space="preserve">٣- تطبيق القانون.  </w:t>
      </w:r>
    </w:p>
    <w:p w14:paraId="0F0F4EAF" w14:textId="77777777" w:rsidR="00A77B3E" w:rsidRDefault="008B0C2C">
      <w:pPr>
        <w:bidi/>
        <w:spacing w:line="360" w:lineRule="auto"/>
        <w:jc w:val="lowKashida"/>
        <w:rPr>
          <w:rFonts w:cs="Microsoft Uighur"/>
          <w:szCs w:val="28"/>
          <w:rtl/>
        </w:rPr>
      </w:pPr>
      <w:r>
        <w:rPr>
          <w:rFonts w:cs="Microsoft Uighur"/>
          <w:szCs w:val="28"/>
          <w:rtl/>
        </w:rPr>
        <w:t xml:space="preserve">الهوامش  </w:t>
      </w:r>
    </w:p>
    <w:p w14:paraId="594A4F30" w14:textId="77777777" w:rsidR="00A77B3E" w:rsidRDefault="008B0C2C">
      <w:pPr>
        <w:bidi/>
        <w:spacing w:line="360" w:lineRule="auto"/>
        <w:jc w:val="lowKashida"/>
        <w:rPr>
          <w:rFonts w:cs="Microsoft Uighur"/>
          <w:szCs w:val="28"/>
          <w:rtl/>
        </w:rPr>
      </w:pPr>
      <w:r>
        <w:rPr>
          <w:rFonts w:cs="Microsoft Uighur"/>
          <w:szCs w:val="28"/>
          <w:rtl/>
        </w:rPr>
        <w:t xml:space="preserve">(۱) مثل ما قال النووي: من </w:t>
      </w:r>
      <w:r>
        <w:rPr>
          <w:rFonts w:cs="Microsoft Uighur"/>
          <w:szCs w:val="28"/>
          <w:rtl/>
        </w:rPr>
        <w:t xml:space="preserve">أن روح الشرع تقضى بمراعاة صالح الصغير أنظر: (المجموع، ١٨: ٣٢٤).  </w:t>
      </w:r>
    </w:p>
    <w:p w14:paraId="12CCC672" w14:textId="77777777" w:rsidR="00A77B3E" w:rsidRDefault="008B0C2C">
      <w:pPr>
        <w:bidi/>
        <w:spacing w:line="360" w:lineRule="auto"/>
        <w:jc w:val="lowKashida"/>
        <w:rPr>
          <w:rFonts w:cs="Microsoft Uighur"/>
          <w:szCs w:val="28"/>
          <w:rtl/>
        </w:rPr>
      </w:pPr>
      <w:r>
        <w:rPr>
          <w:rFonts w:cs="Microsoft Uighur"/>
          <w:szCs w:val="28"/>
          <w:rtl/>
        </w:rPr>
        <w:t xml:space="preserve">(۲) راجع مقالة النظرية الفقهية للمؤلف ورقة مقدمة إلى ندوة تطور العلوم الفقهية) في سلطنة عمان  </w:t>
      </w:r>
    </w:p>
    <w:p w14:paraId="54E5CD5E"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8B0C2C"/>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79117"/>
  <w15:docId w15:val="{3A86913A-40A2-4C5C-A840-D262F7ED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2344</Words>
  <Characters>13363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2025-07-21T10:34:00Z</dcterms:created>
  <dcterms:modified xsi:type="dcterms:W3CDTF">2025-07-21T10:34:00Z</dcterms:modified>
</cp:coreProperties>
</file>