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96136"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w:t>
      </w:r>
    </w:p>
    <w:p w14:paraId="5883034C" w14:textId="77777777" w:rsidR="00A77B3E" w:rsidRDefault="00201914">
      <w:pPr>
        <w:bidi/>
        <w:spacing w:line="360" w:lineRule="auto"/>
        <w:jc w:val="lowKashida"/>
        <w:rPr>
          <w:rFonts w:cs="Microsoft Uighur"/>
          <w:szCs w:val="28"/>
          <w:rtl/>
        </w:rPr>
      </w:pPr>
      <w:r>
        <w:rPr>
          <w:rFonts w:cs="Microsoft Uighur"/>
          <w:szCs w:val="28"/>
          <w:rtl/>
        </w:rPr>
        <w:t xml:space="preserve">دراسة فقهية قانونية مقارنة  </w:t>
      </w:r>
    </w:p>
    <w:p w14:paraId="35225AAB" w14:textId="77777777" w:rsidR="00A77B3E" w:rsidRDefault="00201914">
      <w:pPr>
        <w:bidi/>
        <w:spacing w:line="360" w:lineRule="auto"/>
        <w:jc w:val="lowKashida"/>
        <w:rPr>
          <w:rFonts w:cs="Microsoft Uighur"/>
          <w:szCs w:val="28"/>
          <w:rtl/>
        </w:rPr>
      </w:pPr>
      <w:r>
        <w:rPr>
          <w:rFonts w:cs="Microsoft Uighur"/>
          <w:szCs w:val="28"/>
          <w:rtl/>
        </w:rPr>
        <w:t xml:space="preserve">الشيخ محمد حسن زراقط ()  </w:t>
      </w:r>
    </w:p>
    <w:p w14:paraId="01FD26B8" w14:textId="77777777" w:rsidR="00A77B3E" w:rsidRDefault="00201914">
      <w:pPr>
        <w:bidi/>
        <w:spacing w:line="360" w:lineRule="auto"/>
        <w:jc w:val="lowKashida"/>
        <w:rPr>
          <w:rFonts w:cs="Microsoft Uighur"/>
          <w:szCs w:val="28"/>
          <w:rtl/>
        </w:rPr>
      </w:pPr>
      <w:r>
        <w:rPr>
          <w:rFonts w:cs="Microsoft Uighur"/>
          <w:szCs w:val="28"/>
          <w:rtl/>
        </w:rPr>
        <w:t xml:space="preserve">مدخل في المفهوم والمصطلح </w:t>
      </w:r>
    </w:p>
    <w:p w14:paraId="67C31717" w14:textId="77777777" w:rsidR="00A77B3E" w:rsidRDefault="00201914">
      <w:pPr>
        <w:bidi/>
        <w:spacing w:line="360" w:lineRule="auto"/>
        <w:jc w:val="lowKashida"/>
        <w:rPr>
          <w:rFonts w:cs="Microsoft Uighur"/>
          <w:szCs w:val="28"/>
          <w:rtl/>
        </w:rPr>
      </w:pPr>
      <w:r>
        <w:rPr>
          <w:rFonts w:cs="Microsoft Uighur"/>
          <w:szCs w:val="28"/>
          <w:rtl/>
        </w:rPr>
        <w:t>إذا كان لا بد لكل بحث علمي من الانطلاق من مجموعة مبادئ تصورية  وتصديقية يذكرها علماء المنطق وغيرهم ومنها معرفة الموضوع، فإن البحث في  المسائل الفقهية أولى بمثل هذا المنطلق، وتستوي المسائل القديمة والحديثة في  ذلك؛ بل البحث في تحديد الموضوع في المسائل الحدي</w:t>
      </w:r>
      <w:r>
        <w:rPr>
          <w:rFonts w:cs="Microsoft Uighur"/>
          <w:szCs w:val="28"/>
          <w:rtl/>
        </w:rPr>
        <w:t>ثة يكتسب مزيدا من  الأهمية ويستحق مزيداً من الاهتمام بل ربما لا نبالغ إذا قلنا إن البحث الموضوعي  في كثير من المسائل الحديثة هو ثلاثة أرباع الفقه؛ وذلك لأن كثيرا من المسائل  الجديدة يختلف في حكمها لأجل الاختلاف في تحديدها الموضوعي، وبالتالي  الاختلاف في تخ</w:t>
      </w:r>
      <w:r>
        <w:rPr>
          <w:rFonts w:cs="Microsoft Uighur"/>
          <w:szCs w:val="28"/>
          <w:rtl/>
        </w:rPr>
        <w:t xml:space="preserve">ريجها وإدخالها تحت موضوع منصوص على حكمه في الشريعة  الإسلامية. والأمثلة على ذلك كثيرة تبدأ من أوراق اليانصيب ولا تنتهي عند عدد من  العقود المستحدثة التي ما اختلف الفقهاء في حكمها إلا لاختلافهم في حقيقتها،  ولعدم اتفاقهم على أنها من مصاديق هذا الموضوع الذي </w:t>
      </w:r>
      <w:r>
        <w:rPr>
          <w:rFonts w:cs="Microsoft Uighur"/>
          <w:szCs w:val="28"/>
          <w:rtl/>
        </w:rPr>
        <w:t xml:space="preserve">حرمته الشريعة أو ذاك  الذي أباحته، أو ذلك الذي سكتت عنه لتجري فيها البراءة.  </w:t>
      </w:r>
    </w:p>
    <w:p w14:paraId="4259BAAE" w14:textId="77777777" w:rsidR="00A77B3E" w:rsidRDefault="00201914">
      <w:pPr>
        <w:bidi/>
        <w:spacing w:line="360" w:lineRule="auto"/>
        <w:jc w:val="lowKashida"/>
        <w:rPr>
          <w:rFonts w:cs="Microsoft Uighur"/>
          <w:szCs w:val="28"/>
          <w:rtl/>
        </w:rPr>
      </w:pPr>
      <w:r>
        <w:rPr>
          <w:rFonts w:cs="Microsoft Uighur"/>
          <w:szCs w:val="28"/>
          <w:rtl/>
        </w:rPr>
        <w:t xml:space="preserve">وتزداد أهمية البحث في المصطلح عندما نلاحظ شكوى بعض الباحثين  </w:t>
      </w:r>
    </w:p>
    <w:p w14:paraId="075B7038" w14:textId="77777777" w:rsidR="00A77B3E" w:rsidRDefault="00201914">
      <w:pPr>
        <w:bidi/>
        <w:spacing w:line="360" w:lineRule="auto"/>
        <w:jc w:val="lowKashida"/>
        <w:rPr>
          <w:rFonts w:cs="Microsoft Uighur"/>
          <w:szCs w:val="28"/>
          <w:rtl/>
        </w:rPr>
      </w:pPr>
      <w:r>
        <w:rPr>
          <w:rFonts w:cs="Microsoft Uighur"/>
          <w:szCs w:val="28"/>
          <w:rtl/>
        </w:rPr>
        <w:t xml:space="preserve">(1) أستاذ في جامعة المصطفى العالمية - لبنان. </w:t>
      </w:r>
    </w:p>
    <w:p w14:paraId="59ECC100"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6AB500BA" w14:textId="77777777" w:rsidR="00A77B3E" w:rsidRDefault="00201914">
      <w:pPr>
        <w:bidi/>
        <w:spacing w:line="360" w:lineRule="auto"/>
        <w:jc w:val="lowKashida"/>
        <w:rPr>
          <w:rFonts w:cs="Microsoft Uighur"/>
          <w:szCs w:val="28"/>
          <w:rtl/>
        </w:rPr>
      </w:pPr>
      <w:r>
        <w:rPr>
          <w:rFonts w:cs="Microsoft Uighur"/>
          <w:szCs w:val="28"/>
          <w:rtl/>
        </w:rPr>
        <w:t>الغربيين من خلل دلالي لغوي ف</w:t>
      </w:r>
      <w:r>
        <w:rPr>
          <w:rFonts w:cs="Microsoft Uighur"/>
          <w:szCs w:val="28"/>
          <w:rtl/>
        </w:rPr>
        <w:t>ي النقاشات التي تدور حول هذا المفهوم إذ يرى  هذا الباحث أن خلطا مضللا يحصل بين هذا المفهوم (</w:t>
      </w:r>
      <w:r>
        <w:rPr>
          <w:rFonts w:cs="Microsoft Uighur"/>
          <w:szCs w:val="28"/>
        </w:rPr>
        <w:t>euthanasia</w:t>
      </w:r>
      <w:r>
        <w:rPr>
          <w:rFonts w:cs="Microsoft Uighur"/>
          <w:szCs w:val="28"/>
          <w:rtl/>
        </w:rPr>
        <w:t>) وبين المساعدة  على الانتحار"، وأحيانا الموت المساعد عليه" على حد تعبيره. وإذا كان يدعى  سوء فهم هذا المصطلح في مهده الغربي فما بالك به بعد انتقاله إلى ب</w:t>
      </w:r>
      <w:r>
        <w:rPr>
          <w:rFonts w:cs="Microsoft Uighur"/>
          <w:szCs w:val="28"/>
          <w:rtl/>
        </w:rPr>
        <w:t xml:space="preserve">يئة أخرى لم  يولد فيها.  </w:t>
      </w:r>
    </w:p>
    <w:p w14:paraId="3CE9D6B5" w14:textId="77777777" w:rsidR="00A77B3E" w:rsidRDefault="00201914">
      <w:pPr>
        <w:bidi/>
        <w:spacing w:line="360" w:lineRule="auto"/>
        <w:jc w:val="lowKashida"/>
        <w:rPr>
          <w:rFonts w:cs="Microsoft Uighur"/>
          <w:szCs w:val="28"/>
          <w:rtl/>
        </w:rPr>
      </w:pPr>
      <w:r>
        <w:rPr>
          <w:rFonts w:cs="Microsoft Uighur"/>
          <w:szCs w:val="28"/>
          <w:rtl/>
        </w:rPr>
        <w:t xml:space="preserve">في المصطلح:  </w:t>
      </w:r>
    </w:p>
    <w:p w14:paraId="71DEB03F" w14:textId="77777777" w:rsidR="00A77B3E" w:rsidRDefault="00201914">
      <w:pPr>
        <w:bidi/>
        <w:spacing w:line="360" w:lineRule="auto"/>
        <w:jc w:val="lowKashida"/>
        <w:rPr>
          <w:rFonts w:cs="Microsoft Uighur"/>
          <w:szCs w:val="28"/>
          <w:rtl/>
        </w:rPr>
      </w:pPr>
      <w:r>
        <w:rPr>
          <w:rFonts w:cs="Microsoft Uighur"/>
          <w:szCs w:val="28"/>
          <w:rtl/>
        </w:rPr>
        <w:t>يبدو بعد مراجعة الكثير من المصادر التي تصدت لهذا الموضوع الذي يعالج  في الدوائر الثقافية الغربية في علمي الأخلاق الطبية والقانون أن المصطلح الرسمي  للتعبير عن هذا المفهوم هو أو تانازي ٫ أوتانازيا (</w:t>
      </w:r>
      <w:r>
        <w:rPr>
          <w:rFonts w:cs="Microsoft Uighur"/>
          <w:szCs w:val="28"/>
        </w:rPr>
        <w:t>euthanasia</w:t>
      </w:r>
      <w:r>
        <w:rPr>
          <w:rFonts w:cs="Microsoft Uighur"/>
          <w:szCs w:val="28"/>
          <w:rtl/>
        </w:rPr>
        <w:t>) وهو مصط</w:t>
      </w:r>
      <w:r>
        <w:rPr>
          <w:rFonts w:cs="Microsoft Uighur"/>
          <w:szCs w:val="28"/>
          <w:rtl/>
        </w:rPr>
        <w:t>لح مستورد  من اللغة اليونانية (</w:t>
      </w:r>
      <w:proofErr w:type="spellStart"/>
      <w:r>
        <w:rPr>
          <w:rFonts w:cs="Microsoft Uighur"/>
          <w:szCs w:val="28"/>
        </w:rPr>
        <w:t>Eulavaaia</w:t>
      </w:r>
      <w:proofErr w:type="spellEnd"/>
      <w:r>
        <w:rPr>
          <w:rFonts w:cs="Microsoft Uighur"/>
          <w:szCs w:val="28"/>
          <w:rtl/>
        </w:rPr>
        <w:t xml:space="preserve">)، ومنها تسرب إلى كثير من اللغات اللاتينية  فاستخدم هذا التعبير الذي هو في الأصل مؤلّف من كلمتين هما: (٤) التي تعني  باللغة الإنكليزية ( </w:t>
      </w:r>
      <w:r>
        <w:rPr>
          <w:rFonts w:cs="Microsoft Uighur"/>
          <w:szCs w:val="28"/>
        </w:rPr>
        <w:t>well" or "good</w:t>
      </w:r>
      <w:r>
        <w:rPr>
          <w:rFonts w:cs="Microsoft Uighur"/>
          <w:szCs w:val="28"/>
          <w:rtl/>
        </w:rPr>
        <w:t>) و (</w:t>
      </w:r>
      <w:proofErr w:type="spellStart"/>
      <w:r>
        <w:rPr>
          <w:rFonts w:cs="Microsoft Uighur"/>
          <w:szCs w:val="28"/>
        </w:rPr>
        <w:t>thanatos</w:t>
      </w:r>
      <w:proofErr w:type="spellEnd"/>
      <w:r>
        <w:rPr>
          <w:rFonts w:cs="Microsoft Uighur"/>
          <w:szCs w:val="28"/>
          <w:rtl/>
        </w:rPr>
        <w:t>) التي تعني بالإنكليزية (</w:t>
      </w:r>
      <w:r>
        <w:rPr>
          <w:rFonts w:cs="Microsoft Uighur"/>
          <w:szCs w:val="28"/>
        </w:rPr>
        <w:t>death</w:t>
      </w:r>
      <w:r>
        <w:rPr>
          <w:rFonts w:cs="Microsoft Uighur"/>
          <w:szCs w:val="28"/>
          <w:rtl/>
        </w:rPr>
        <w:t>) أي  الموت؛ استخدم هذ</w:t>
      </w:r>
      <w:r>
        <w:rPr>
          <w:rFonts w:cs="Microsoft Uighur"/>
          <w:szCs w:val="28"/>
          <w:rtl/>
        </w:rPr>
        <w:t xml:space="preserve">ا المصطلح بصيغته اليونانية هذه في عدد من اللغات اللاتينية  أو ترجم إلى تلك اللغات مع الحفاظ على المعنى المقصود في اللغة الأم ترجمة  شبة حرفية. فيقال في اللغة الإنكليزية مثلا ترجمة </w:t>
      </w:r>
      <w:r>
        <w:rPr>
          <w:rFonts w:cs="Microsoft Uighur"/>
          <w:szCs w:val="28"/>
        </w:rPr>
        <w:t>mercy killing</w:t>
      </w:r>
      <w:r>
        <w:rPr>
          <w:rFonts w:cs="Microsoft Uighur"/>
          <w:szCs w:val="28"/>
          <w:rtl/>
        </w:rPr>
        <w:t>) على الرغم من  اشتهار المصطلح اليوناني، والأمر عينه يقال عن ال</w:t>
      </w:r>
      <w:r>
        <w:rPr>
          <w:rFonts w:cs="Microsoft Uighur"/>
          <w:szCs w:val="28"/>
          <w:rtl/>
        </w:rPr>
        <w:t>لغة الفرنسية وغيرها، وفي اللغة  العربية ثمة خيارات عدة للتعبير عن هذا المفهوم أحدها هو المفردة اليونانية  المذكورة آنفاً، و"الموت الرحيم"، و"القتل الرحيم"، وقتل المرحمة"، والقتل بدافع  الشفقة". والمصطلح الأكثر استخدامًا هو القتل الرحيم". وإذا أردنا المفاضل</w:t>
      </w:r>
      <w:r>
        <w:rPr>
          <w:rFonts w:cs="Microsoft Uighur"/>
          <w:szCs w:val="28"/>
          <w:rtl/>
        </w:rPr>
        <w:t>ة بين  هذه المصطلحات يبدو لي أن عبارة "القتل بدافع الشفقة هي الأدق في الدلالة على  المفهوم لأنها تشير إلى القتل الذي هو فعل يمارسه شخص غير المريض حتى ولو  بطريقة سلبية، كما يشير إلى النية والدافع اللذان يدفعان الفاعل إلى فعله، ولا  تتضمن حكما قيميًا على ال</w:t>
      </w:r>
      <w:r>
        <w:rPr>
          <w:rFonts w:cs="Microsoft Uighur"/>
          <w:szCs w:val="28"/>
          <w:rtl/>
        </w:rPr>
        <w:t xml:space="preserve">قتل نفسه كما في تعبير القتل الرحيم، عنيت بذلك  </w:t>
      </w:r>
    </w:p>
    <w:p w14:paraId="071C6091" w14:textId="77777777" w:rsidR="00A77B3E" w:rsidRDefault="00201914">
      <w:pPr>
        <w:bidi/>
        <w:spacing w:line="360" w:lineRule="auto"/>
        <w:jc w:val="lowKashida"/>
        <w:rPr>
          <w:rFonts w:cs="Microsoft Uighur"/>
          <w:szCs w:val="28"/>
          <w:rtl/>
        </w:rPr>
      </w:pPr>
      <w:r>
        <w:rPr>
          <w:rFonts w:cs="Microsoft Uighur"/>
          <w:szCs w:val="28"/>
          <w:rtl/>
        </w:rPr>
        <w:lastRenderedPageBreak/>
        <w:t xml:space="preserve">٢٤٣ </w:t>
      </w:r>
    </w:p>
    <w:p w14:paraId="66B161EE"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3E06DDB3" w14:textId="77777777" w:rsidR="00A77B3E" w:rsidRDefault="00201914">
      <w:pPr>
        <w:bidi/>
        <w:spacing w:line="360" w:lineRule="auto"/>
        <w:jc w:val="lowKashida"/>
        <w:rPr>
          <w:rFonts w:cs="Microsoft Uighur"/>
          <w:szCs w:val="28"/>
          <w:rtl/>
        </w:rPr>
      </w:pPr>
      <w:r>
        <w:rPr>
          <w:rFonts w:cs="Microsoft Uighur"/>
          <w:szCs w:val="28"/>
          <w:rtl/>
        </w:rPr>
        <w:t xml:space="preserve">وصف القتل بأنه رحيم. والأمر عينه نلاحظه في اللغة الفارسية أيضاً إذ إن التعابير  </w:t>
      </w:r>
    </w:p>
    <w:p w14:paraId="2873E7A2" w14:textId="77777777" w:rsidR="00A77B3E" w:rsidRDefault="00201914">
      <w:pPr>
        <w:bidi/>
        <w:spacing w:line="360" w:lineRule="auto"/>
        <w:jc w:val="lowKashida"/>
        <w:rPr>
          <w:rFonts w:cs="Microsoft Uighur"/>
          <w:szCs w:val="28"/>
          <w:rtl/>
        </w:rPr>
      </w:pPr>
      <w:r>
        <w:rPr>
          <w:rFonts w:cs="Microsoft Uighur"/>
          <w:szCs w:val="28"/>
          <w:rtl/>
        </w:rPr>
        <w:t xml:space="preserve">المستخدمة للدلالة على المفهوم تدور بين تحويله إلى الفارسية (تفريس)  </w:t>
      </w:r>
    </w:p>
    <w:p w14:paraId="0189EFE5" w14:textId="77777777" w:rsidR="00A77B3E" w:rsidRDefault="00201914">
      <w:pPr>
        <w:bidi/>
        <w:spacing w:line="360" w:lineRule="auto"/>
        <w:jc w:val="lowKashida"/>
        <w:rPr>
          <w:rFonts w:cs="Microsoft Uighur"/>
          <w:szCs w:val="28"/>
          <w:rtl/>
        </w:rPr>
      </w:pPr>
      <w:r>
        <w:rPr>
          <w:rFonts w:cs="Microsoft Uighur"/>
          <w:szCs w:val="28"/>
          <w:rtl/>
        </w:rPr>
        <w:t xml:space="preserve">المصطلح وبين ترجمته، فنجد بعض الكتاب </w:t>
      </w:r>
      <w:r>
        <w:rPr>
          <w:rFonts w:cs="Microsoft Uighur"/>
          <w:szCs w:val="28"/>
          <w:rtl/>
        </w:rPr>
        <w:t xml:space="preserve">استخدم المصطلح عينه في أبحاثه  </w:t>
      </w:r>
    </w:p>
    <w:p w14:paraId="23C4E6F4" w14:textId="77777777" w:rsidR="00A77B3E" w:rsidRDefault="00201914">
      <w:pPr>
        <w:bidi/>
        <w:spacing w:line="360" w:lineRule="auto"/>
        <w:jc w:val="lowKashida"/>
        <w:rPr>
          <w:rFonts w:cs="Microsoft Uighur"/>
          <w:szCs w:val="28"/>
          <w:rtl/>
        </w:rPr>
      </w:pPr>
      <w:r>
        <w:rPr>
          <w:rFonts w:cs="Microsoft Uighur"/>
          <w:szCs w:val="28"/>
          <w:rtl/>
        </w:rPr>
        <w:t xml:space="preserve">ودراسته أتانازی"، بينما ترجم آخرون المصطلح إلى اللغة الفارسية، فقالوا: به  </w:t>
      </w:r>
    </w:p>
    <w:p w14:paraId="53DCF269" w14:textId="77777777" w:rsidR="00A77B3E" w:rsidRDefault="00201914">
      <w:pPr>
        <w:bidi/>
        <w:spacing w:line="360" w:lineRule="auto"/>
        <w:jc w:val="lowKashida"/>
        <w:rPr>
          <w:rFonts w:cs="Microsoft Uighur"/>
          <w:szCs w:val="28"/>
          <w:rtl/>
        </w:rPr>
      </w:pPr>
      <w:r>
        <w:rPr>
          <w:rFonts w:cs="Microsoft Uighur"/>
          <w:szCs w:val="28"/>
          <w:rtl/>
        </w:rPr>
        <w:t xml:space="preserve">مرگی کشتن از روی ترحم مرگ آسان مرگ راحت. وعلى أي حال وبعد  </w:t>
      </w:r>
    </w:p>
    <w:p w14:paraId="5E4C8E55" w14:textId="77777777" w:rsidR="00A77B3E" w:rsidRDefault="00201914">
      <w:pPr>
        <w:bidi/>
        <w:spacing w:line="360" w:lineRule="auto"/>
        <w:jc w:val="lowKashida"/>
        <w:rPr>
          <w:rFonts w:cs="Microsoft Uighur"/>
          <w:szCs w:val="28"/>
          <w:rtl/>
        </w:rPr>
      </w:pPr>
      <w:r>
        <w:rPr>
          <w:rFonts w:cs="Microsoft Uighur"/>
          <w:szCs w:val="28"/>
          <w:rtl/>
        </w:rPr>
        <w:t xml:space="preserve">استعراض البدائل الاصطلاحية لا بد من إطلالة على المفهوم بحسب تعريفاته  </w:t>
      </w:r>
    </w:p>
    <w:p w14:paraId="39FD2F7E" w14:textId="77777777" w:rsidR="00A77B3E" w:rsidRDefault="00201914">
      <w:pPr>
        <w:bidi/>
        <w:spacing w:line="360" w:lineRule="auto"/>
        <w:jc w:val="lowKashida"/>
        <w:rPr>
          <w:rFonts w:cs="Microsoft Uighur"/>
          <w:szCs w:val="28"/>
          <w:rtl/>
        </w:rPr>
      </w:pPr>
      <w:r>
        <w:rPr>
          <w:rFonts w:cs="Microsoft Uighur"/>
          <w:szCs w:val="28"/>
          <w:rtl/>
        </w:rPr>
        <w:t xml:space="preserve">العلمية الرسمية، </w:t>
      </w:r>
      <w:r>
        <w:rPr>
          <w:rFonts w:cs="Microsoft Uighur"/>
          <w:szCs w:val="28"/>
          <w:rtl/>
        </w:rPr>
        <w:t xml:space="preserve">بهدف تحديد محل النزاع قبل البدء بمعالجة المفهوم  </w:t>
      </w:r>
    </w:p>
    <w:p w14:paraId="4113BBBB" w14:textId="77777777" w:rsidR="00A77B3E" w:rsidRDefault="00201914">
      <w:pPr>
        <w:bidi/>
        <w:spacing w:line="360" w:lineRule="auto"/>
        <w:jc w:val="lowKashida"/>
        <w:rPr>
          <w:rFonts w:cs="Microsoft Uighur"/>
          <w:szCs w:val="28"/>
          <w:rtl/>
        </w:rPr>
      </w:pPr>
      <w:r>
        <w:rPr>
          <w:rFonts w:cs="Microsoft Uighur"/>
          <w:szCs w:val="28"/>
          <w:rtl/>
        </w:rPr>
        <w:t xml:space="preserve">وإشكالياته.  </w:t>
      </w:r>
    </w:p>
    <w:p w14:paraId="2D15CF4C" w14:textId="77777777" w:rsidR="00A77B3E" w:rsidRDefault="00201914">
      <w:pPr>
        <w:bidi/>
        <w:spacing w:line="360" w:lineRule="auto"/>
        <w:jc w:val="lowKashida"/>
        <w:rPr>
          <w:rFonts w:cs="Microsoft Uighur"/>
          <w:szCs w:val="28"/>
          <w:rtl/>
        </w:rPr>
      </w:pPr>
      <w:r>
        <w:rPr>
          <w:rFonts w:cs="Microsoft Uighur"/>
          <w:szCs w:val="28"/>
          <w:rtl/>
        </w:rPr>
        <w:t xml:space="preserve">التعريف الرسمي للمصطلح:  </w:t>
      </w:r>
    </w:p>
    <w:p w14:paraId="38BE72B2" w14:textId="77777777" w:rsidR="00A77B3E" w:rsidRDefault="00201914">
      <w:pPr>
        <w:bidi/>
        <w:spacing w:line="360" w:lineRule="auto"/>
        <w:jc w:val="lowKashida"/>
        <w:rPr>
          <w:rFonts w:cs="Microsoft Uighur"/>
          <w:szCs w:val="28"/>
          <w:rtl/>
        </w:rPr>
      </w:pPr>
      <w:r>
        <w:rPr>
          <w:rFonts w:cs="Microsoft Uighur"/>
          <w:szCs w:val="28"/>
          <w:rtl/>
        </w:rPr>
        <w:t>إن تقسيم المفاهيم إلى أقسامها وإن لم يكن تعريفا بالمعنى المنطقي، إلا أنه  يساعد في فهمها ووضوح صورتها في الذهن وخاصة عندما يكون المقصود هو  التمييز بين هذه الأقسام وا</w:t>
      </w:r>
      <w:r>
        <w:rPr>
          <w:rFonts w:cs="Microsoft Uighur"/>
          <w:szCs w:val="28"/>
          <w:rtl/>
        </w:rPr>
        <w:t xml:space="preserve">لحكم على كل قسم من أقسامها بالحكم الذي ينطبق  عليه، وبناء عليه نجد أن مفهوم القتل الرحيم يقسم إلى أقسام عدة وفق اعتبارات  مختلفة نعرضها في ما يأتي.  </w:t>
      </w:r>
    </w:p>
    <w:p w14:paraId="7D42F991" w14:textId="77777777" w:rsidR="00A77B3E" w:rsidRDefault="00201914">
      <w:pPr>
        <w:bidi/>
        <w:spacing w:line="360" w:lineRule="auto"/>
        <w:jc w:val="lowKashida"/>
        <w:rPr>
          <w:rFonts w:cs="Microsoft Uighur"/>
          <w:szCs w:val="28"/>
          <w:rtl/>
        </w:rPr>
      </w:pPr>
      <w:r>
        <w:rPr>
          <w:rFonts w:cs="Microsoft Uighur"/>
          <w:szCs w:val="28"/>
          <w:rtl/>
        </w:rPr>
        <w:t xml:space="preserve">إلى:  قسم القتل الرحيم باعتبار رغبة المريض ورضاه بـ "تقديم هذه الخدمة" لـه  </w:t>
      </w:r>
    </w:p>
    <w:p w14:paraId="0D6D26E4" w14:textId="77777777" w:rsidR="00A77B3E" w:rsidRDefault="00201914">
      <w:pPr>
        <w:bidi/>
        <w:spacing w:line="360" w:lineRule="auto"/>
        <w:jc w:val="lowKashida"/>
        <w:rPr>
          <w:rFonts w:cs="Microsoft Uighur"/>
          <w:szCs w:val="28"/>
          <w:rtl/>
        </w:rPr>
      </w:pPr>
      <w:r>
        <w:rPr>
          <w:rFonts w:cs="Microsoft Uighur"/>
          <w:szCs w:val="28"/>
          <w:rtl/>
        </w:rPr>
        <w:t>طوعي (</w:t>
      </w:r>
      <w:r>
        <w:rPr>
          <w:rFonts w:cs="Microsoft Uighur"/>
          <w:szCs w:val="28"/>
        </w:rPr>
        <w:t>Volunteer</w:t>
      </w:r>
      <w:r>
        <w:rPr>
          <w:rFonts w:cs="Microsoft Uighur"/>
          <w:szCs w:val="28"/>
          <w:rtl/>
        </w:rPr>
        <w:t>) وهو مفهوم يت</w:t>
      </w:r>
      <w:r>
        <w:rPr>
          <w:rFonts w:cs="Microsoft Uighur"/>
          <w:szCs w:val="28"/>
          <w:rtl/>
        </w:rPr>
        <w:t>حقق عندما يطلب المريض وهو في حال  الاحتضار التوقف عن العلاج بشكل طوعي وينفذ المحيطون به رغبته بتركه  وشأنه. ويعرف موقع إذاعة (بي بي سي) هذه الحالة بقولهم: "هو عندما يريد  الشخص أن يموت ويعبر عن رغبته هذه. وتدخل في هذا الإطار حالات عدة هي:  طلب المساعدة على</w:t>
      </w:r>
      <w:r>
        <w:rPr>
          <w:rFonts w:cs="Microsoft Uighur"/>
          <w:szCs w:val="28"/>
          <w:rtl/>
        </w:rPr>
        <w:t xml:space="preserve"> الموت الامتناع عن تناول الأدوية وتلقي العلاجات، طلب  إيقاف الأجهزة العلاجية أو الأجهزة الداعمة للحياة، الامتناع عن الطعام، وببساطة  هو عندما يقرر المريض أنه يريد أن يموت .  </w:t>
      </w:r>
    </w:p>
    <w:p w14:paraId="2F79AC01" w14:textId="77777777" w:rsidR="00A77B3E" w:rsidRDefault="00201914">
      <w:pPr>
        <w:bidi/>
        <w:spacing w:line="360" w:lineRule="auto"/>
        <w:jc w:val="lowKashida"/>
        <w:rPr>
          <w:rFonts w:cs="Microsoft Uighur"/>
          <w:szCs w:val="28"/>
          <w:rtl/>
        </w:rPr>
      </w:pPr>
      <w:r>
        <w:rPr>
          <w:rFonts w:cs="Microsoft Uighur"/>
          <w:szCs w:val="28"/>
          <w:rtl/>
        </w:rPr>
        <w:t xml:space="preserve">٢٤٤  </w:t>
      </w:r>
    </w:p>
    <w:p w14:paraId="69C87E86" w14:textId="77777777" w:rsidR="00A77B3E" w:rsidRDefault="00201914">
      <w:pPr>
        <w:bidi/>
        <w:spacing w:line="360" w:lineRule="auto"/>
        <w:jc w:val="lowKashida"/>
        <w:rPr>
          <w:rFonts w:cs="Microsoft Uighur"/>
          <w:szCs w:val="28"/>
          <w:rtl/>
        </w:rPr>
      </w:pPr>
      <w:r>
        <w:rPr>
          <w:rFonts w:cs="Microsoft Uighur"/>
          <w:szCs w:val="28"/>
          <w:rtl/>
        </w:rPr>
        <w:t xml:space="preserve">الفقه المقارن  </w:t>
      </w:r>
    </w:p>
    <w:p w14:paraId="4BAAC48E" w14:textId="77777777" w:rsidR="00A77B3E" w:rsidRDefault="00201914">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7143484F"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3D39FEE7" w14:textId="77777777" w:rsidR="00A77B3E" w:rsidRDefault="00201914">
      <w:pPr>
        <w:bidi/>
        <w:spacing w:line="360" w:lineRule="auto"/>
        <w:jc w:val="lowKashida"/>
        <w:rPr>
          <w:rFonts w:cs="Microsoft Uighur"/>
          <w:szCs w:val="28"/>
          <w:rtl/>
        </w:rPr>
      </w:pPr>
      <w:r>
        <w:rPr>
          <w:rFonts w:cs="Microsoft Uighur"/>
          <w:szCs w:val="28"/>
          <w:rtl/>
        </w:rPr>
        <w:t xml:space="preserve">- وغير طوعي ( </w:t>
      </w:r>
      <w:r>
        <w:rPr>
          <w:rFonts w:cs="Microsoft Uighur"/>
          <w:szCs w:val="28"/>
        </w:rPr>
        <w:t>Non voluntary</w:t>
      </w:r>
      <w:r>
        <w:rPr>
          <w:rFonts w:cs="Microsoft Uighur"/>
          <w:szCs w:val="28"/>
          <w:rtl/>
        </w:rPr>
        <w:t xml:space="preserve">) وهو يتحقق عندما لا يكون المريض في  حالة تسمح له باتخاذ قرار الموت كما لو كان في حالة الكوما، أو عندما  يكون حدث السن أو كبير السن بحيث </w:t>
      </w:r>
      <w:r>
        <w:rPr>
          <w:rFonts w:cs="Microsoft Uighur"/>
          <w:szCs w:val="28"/>
          <w:rtl/>
        </w:rPr>
        <w:t xml:space="preserve">لا يستطيع اتخاذ مثل هذه  القرارات وحده، أو يكون متخلفا عقليًا، أو مصابا بتلف دماغي يحول  دون اتخاذه مثل هذا القرار.....  </w:t>
      </w:r>
    </w:p>
    <w:p w14:paraId="74F4B5A9" w14:textId="77777777" w:rsidR="00A77B3E" w:rsidRDefault="00201914">
      <w:pPr>
        <w:bidi/>
        <w:spacing w:line="360" w:lineRule="auto"/>
        <w:jc w:val="lowKashida"/>
        <w:rPr>
          <w:rFonts w:cs="Microsoft Uighur"/>
          <w:szCs w:val="28"/>
          <w:rtl/>
        </w:rPr>
      </w:pPr>
      <w:r>
        <w:rPr>
          <w:rFonts w:cs="Microsoft Uighur"/>
          <w:szCs w:val="28"/>
          <w:rtl/>
        </w:rPr>
        <w:t>قسري (</w:t>
      </w:r>
      <w:r>
        <w:rPr>
          <w:rFonts w:cs="Microsoft Uighur"/>
          <w:szCs w:val="28"/>
        </w:rPr>
        <w:t>Involuntary</w:t>
      </w:r>
      <w:r>
        <w:rPr>
          <w:rFonts w:cs="Microsoft Uighur"/>
          <w:szCs w:val="28"/>
          <w:rtl/>
        </w:rPr>
        <w:t>) وهو ينطبق على الحالات التي يكون المريض في  حالة وعي تسمح له باتخاذ قرار بشأن مستقبل حياته ويكون راغبا في  استمرار ه</w:t>
      </w:r>
      <w:r>
        <w:rPr>
          <w:rFonts w:cs="Microsoft Uighur"/>
          <w:szCs w:val="28"/>
          <w:rtl/>
        </w:rPr>
        <w:t xml:space="preserve">ذه الحياة. ومن الملفت أن مثل هذه الحالة تعد قتلا بحسب  نظرة قطاعات من الفكر الغربي ولكن ليس دائماً على حد تعبير محرري  </w:t>
      </w:r>
      <w:r>
        <w:rPr>
          <w:rFonts w:cs="Microsoft Uighur"/>
          <w:szCs w:val="28"/>
          <w:rtl/>
        </w:rPr>
        <w:lastRenderedPageBreak/>
        <w:t>موقع (بي بي سي) مثلا إذ يقول: "تأمل في هذه الحالات الآتية، تخيل  جنوداً جرحى في ميدان القتال بطونهم مفتوحة يعانون من ألم شديد  ويلحون على</w:t>
      </w:r>
      <w:r>
        <w:rPr>
          <w:rFonts w:cs="Microsoft Uighur"/>
          <w:szCs w:val="28"/>
          <w:rtl/>
        </w:rPr>
        <w:t xml:space="preserve"> طبيب الإسعاف الحربي أن يساعدهم وهو لا يملك من  أمره ولا أمرهم شيئاً، وهو يعلم أنهم سوف يموتون بعد قليل، فيعمد إلى  إطلاق النار عليهم لإراحتهم من الألم الذي يعانونه ، ويتابع المحرر  نفسه بإعطاء مثال عن شخص محتجز في مبنى يحترق، يسارع أحد  العابرين إلى إطلاق</w:t>
      </w:r>
      <w:r>
        <w:rPr>
          <w:rFonts w:cs="Microsoft Uighur"/>
          <w:szCs w:val="28"/>
          <w:rtl/>
        </w:rPr>
        <w:t xml:space="preserve"> النار عليه؛ ليقتله قبل أن يموت احتراقاً. وأخيراً يترك  المحرر الحكم الأخلاقي على مثل هذه الحالات للقارئ ليفكر فيها.  </w:t>
      </w:r>
    </w:p>
    <w:p w14:paraId="6AEA1B1D" w14:textId="77777777" w:rsidR="00A77B3E" w:rsidRDefault="00201914">
      <w:pPr>
        <w:bidi/>
        <w:spacing w:line="360" w:lineRule="auto"/>
        <w:jc w:val="lowKashida"/>
        <w:rPr>
          <w:rFonts w:cs="Microsoft Uighur"/>
          <w:szCs w:val="28"/>
          <w:rtl/>
        </w:rPr>
      </w:pPr>
      <w:r>
        <w:rPr>
          <w:rFonts w:cs="Microsoft Uighur"/>
          <w:szCs w:val="28"/>
          <w:rtl/>
        </w:rPr>
        <w:t xml:space="preserve">و باعتبار طريقة الإقدام على هذا الفعل، وما إذا كانت إجراء يمارسه الفاعل أو  انسحابا، ينقسم القتل الرحيم إلى:  </w:t>
      </w:r>
    </w:p>
    <w:p w14:paraId="321F1827" w14:textId="77777777" w:rsidR="00A77B3E" w:rsidRDefault="00201914">
      <w:pPr>
        <w:bidi/>
        <w:spacing w:line="360" w:lineRule="auto"/>
        <w:jc w:val="lowKashida"/>
        <w:rPr>
          <w:rFonts w:cs="Microsoft Uighur"/>
          <w:szCs w:val="28"/>
          <w:rtl/>
        </w:rPr>
      </w:pPr>
      <w:r>
        <w:rPr>
          <w:rFonts w:cs="Microsoft Uighur"/>
          <w:szCs w:val="28"/>
          <w:rtl/>
        </w:rPr>
        <w:t>إيجابي فعّال (</w:t>
      </w:r>
      <w:r>
        <w:rPr>
          <w:rFonts w:cs="Microsoft Uighur"/>
          <w:szCs w:val="28"/>
        </w:rPr>
        <w:t>active</w:t>
      </w:r>
      <w:r>
        <w:rPr>
          <w:rFonts w:cs="Microsoft Uighur"/>
          <w:szCs w:val="28"/>
          <w:rtl/>
        </w:rPr>
        <w:t xml:space="preserve">) وهو </w:t>
      </w:r>
      <w:r>
        <w:rPr>
          <w:rFonts w:cs="Microsoft Uighur"/>
          <w:szCs w:val="28"/>
          <w:rtl/>
        </w:rPr>
        <w:t>القيام بفعل يؤدي إلى قتل المريض  كزيادة جرعات بعض الأدوية المسكنة، أو حقن المريض بعقار يودي  (</w:t>
      </w:r>
      <w:r>
        <w:rPr>
          <w:rFonts w:cs="Microsoft Uighur"/>
          <w:szCs w:val="28"/>
        </w:rPr>
        <w:t>L</w:t>
      </w:r>
      <w:r>
        <w:rPr>
          <w:rFonts w:cs="Microsoft Uighur"/>
          <w:szCs w:val="28"/>
          <w:rtl/>
        </w:rPr>
        <w:t xml:space="preserve">)  بحياته .  </w:t>
      </w:r>
    </w:p>
    <w:p w14:paraId="6DEE6A4E" w14:textId="77777777" w:rsidR="00A77B3E" w:rsidRDefault="00201914">
      <w:pPr>
        <w:bidi/>
        <w:spacing w:line="360" w:lineRule="auto"/>
        <w:jc w:val="lowKashida"/>
        <w:rPr>
          <w:rFonts w:cs="Microsoft Uighur"/>
          <w:szCs w:val="28"/>
          <w:rtl/>
        </w:rPr>
      </w:pPr>
      <w:r>
        <w:rPr>
          <w:rFonts w:cs="Microsoft Uighur"/>
          <w:szCs w:val="28"/>
          <w:rtl/>
        </w:rPr>
        <w:t xml:space="preserve">وسلبي منفعل ( </w:t>
      </w:r>
      <w:r>
        <w:rPr>
          <w:rFonts w:cs="Microsoft Uighur"/>
          <w:szCs w:val="28"/>
        </w:rPr>
        <w:t>passive</w:t>
      </w:r>
      <w:r>
        <w:rPr>
          <w:rFonts w:cs="Microsoft Uighur"/>
          <w:szCs w:val="28"/>
          <w:rtl/>
        </w:rPr>
        <w:t xml:space="preserve">) وهو ترك المريض المصيره والتخلي عن  </w:t>
      </w:r>
    </w:p>
    <w:p w14:paraId="6E711FE1" w14:textId="77777777" w:rsidR="00A77B3E" w:rsidRDefault="00201914">
      <w:pPr>
        <w:bidi/>
        <w:spacing w:line="360" w:lineRule="auto"/>
        <w:jc w:val="lowKashida"/>
        <w:rPr>
          <w:rFonts w:cs="Microsoft Uighur"/>
          <w:szCs w:val="28"/>
          <w:rtl/>
        </w:rPr>
      </w:pPr>
      <w:r>
        <w:rPr>
          <w:rFonts w:cs="Microsoft Uighur"/>
          <w:szCs w:val="28"/>
          <w:rtl/>
        </w:rPr>
        <w:t xml:space="preserve">٢٤٥ </w:t>
      </w:r>
    </w:p>
    <w:p w14:paraId="04E0EA29"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4383DE44" w14:textId="77777777" w:rsidR="00A77B3E" w:rsidRDefault="00201914">
      <w:pPr>
        <w:bidi/>
        <w:spacing w:line="360" w:lineRule="auto"/>
        <w:jc w:val="lowKashida"/>
        <w:rPr>
          <w:rFonts w:cs="Microsoft Uighur"/>
          <w:szCs w:val="28"/>
          <w:rtl/>
        </w:rPr>
      </w:pPr>
      <w:r>
        <w:rPr>
          <w:rFonts w:cs="Microsoft Uighur"/>
          <w:szCs w:val="28"/>
          <w:rtl/>
        </w:rPr>
        <w:t xml:space="preserve">الإجراءات التي تسهم في تطويل حياته. وهو ما يعبر عنه في اللغة العربية  بنزع أجهزة الإنعاش.  </w:t>
      </w:r>
    </w:p>
    <w:p w14:paraId="34F2B976" w14:textId="77777777" w:rsidR="00A77B3E" w:rsidRDefault="00201914">
      <w:pPr>
        <w:bidi/>
        <w:spacing w:line="360" w:lineRule="auto"/>
        <w:jc w:val="lowKashida"/>
        <w:rPr>
          <w:rFonts w:cs="Microsoft Uighur"/>
          <w:szCs w:val="28"/>
          <w:rtl/>
        </w:rPr>
      </w:pPr>
      <w:r>
        <w:rPr>
          <w:rFonts w:cs="Microsoft Uighur"/>
          <w:szCs w:val="28"/>
          <w:rtl/>
        </w:rPr>
        <w:t xml:space="preserve">(۸)  وليست هذه التقسيمات حاصرة نهائية؛ بل ثمة تقسيمات أخرى يرى بعض  المهتمين أنها مضللة لا يترتب عليها أثر مهم . ولذلك نطوي عنها كشحا لعدم  تأثيرها في ما نحن بصدده </w:t>
      </w:r>
      <w:r>
        <w:rPr>
          <w:rFonts w:cs="Microsoft Uighur"/>
          <w:szCs w:val="28"/>
          <w:rtl/>
        </w:rPr>
        <w:t xml:space="preserve">من بيان حكمها الفقهي. ومن المعلوم أن التقسيم يحسن  حيث تكون له جدوى، فإذا انعدمت الجدوى واتفقت الأقسام في الغرض  المقصود، لا يبقى لها مبرر يدعو إلى ذكرها.  </w:t>
      </w:r>
    </w:p>
    <w:p w14:paraId="5EC1A6C7" w14:textId="77777777" w:rsidR="00A77B3E" w:rsidRDefault="00201914">
      <w:pPr>
        <w:bidi/>
        <w:spacing w:line="360" w:lineRule="auto"/>
        <w:jc w:val="lowKashida"/>
        <w:rPr>
          <w:rFonts w:cs="Microsoft Uighur"/>
          <w:szCs w:val="28"/>
          <w:rtl/>
        </w:rPr>
      </w:pPr>
      <w:r>
        <w:rPr>
          <w:rFonts w:cs="Microsoft Uighur"/>
          <w:szCs w:val="28"/>
          <w:rtl/>
        </w:rPr>
        <w:t xml:space="preserve">تاريخ المسألة:  </w:t>
      </w:r>
    </w:p>
    <w:p w14:paraId="46280200" w14:textId="77777777" w:rsidR="00A77B3E" w:rsidRDefault="00201914">
      <w:pPr>
        <w:bidi/>
        <w:spacing w:line="360" w:lineRule="auto"/>
        <w:jc w:val="lowKashida"/>
        <w:rPr>
          <w:rFonts w:cs="Microsoft Uighur"/>
          <w:szCs w:val="28"/>
          <w:rtl/>
        </w:rPr>
      </w:pPr>
      <w:r>
        <w:rPr>
          <w:rFonts w:cs="Microsoft Uighur"/>
          <w:szCs w:val="28"/>
          <w:rtl/>
        </w:rPr>
        <w:t xml:space="preserve">من الأسئلة التي لا بد من طرحها بين يدي البحث في هذه المسألة هو السؤال  عن تاريخها </w:t>
      </w:r>
      <w:r>
        <w:rPr>
          <w:rFonts w:cs="Microsoft Uighur"/>
          <w:szCs w:val="28"/>
          <w:rtl/>
        </w:rPr>
        <w:t>في الفقه الإسلامي؛ لما لهذا البحث من فائدة هي البناء على ما تقدم  من فقه ونقاشات فقهية في تراثنا الإسلامي؛ إذ شتان بين بحث مستأنف غير  مطروح في الفقه الإسلامي وبين بحث له جذور في هذا الفقه. وبعبارة أخرى لا بد  من تحديد أن هذه المسألة هل هي من مستحدثات المس</w:t>
      </w:r>
      <w:r>
        <w:rPr>
          <w:rFonts w:cs="Microsoft Uighur"/>
          <w:szCs w:val="28"/>
          <w:rtl/>
        </w:rPr>
        <w:t xml:space="preserve">ائل أو النوازل الفقهية، أم  أنها مسألة غير مستجدة وللبحث فيها سوابق في تاريخ الفقه الإسلامي.  </w:t>
      </w:r>
    </w:p>
    <w:p w14:paraId="07E18E73" w14:textId="77777777" w:rsidR="00A77B3E" w:rsidRDefault="00201914">
      <w:pPr>
        <w:bidi/>
        <w:spacing w:line="360" w:lineRule="auto"/>
        <w:jc w:val="lowKashida"/>
        <w:rPr>
          <w:rFonts w:cs="Microsoft Uighur"/>
          <w:szCs w:val="28"/>
          <w:rtl/>
        </w:rPr>
      </w:pPr>
      <w:r>
        <w:rPr>
          <w:rFonts w:cs="Microsoft Uighur"/>
          <w:szCs w:val="28"/>
          <w:rtl/>
        </w:rPr>
        <w:t>لا بأس من الإشارة إلى أن الفكر الغربي عرف النقاش في هذا المفهوم منذ  زمن بعيد. ويؤكد هذا الأمر استخدام المصطلح اليوناني للتعبير عنه في أكثر اللغات  الأوروبية كما</w:t>
      </w:r>
      <w:r>
        <w:rPr>
          <w:rFonts w:cs="Microsoft Uighur"/>
          <w:szCs w:val="28"/>
          <w:rtl/>
        </w:rPr>
        <w:t xml:space="preserve"> أشرنا أعلاه. وذلك على الرغم من الاختلاف في الفهم بين بيئة  وأخرى على مستوى الجزئيات وما دعا إلى إثارة البحث في هذه المسألة مجددا  هو أن مجموعة من العناصر طرأت واستجدت فأدت إلى تجدد الجدل حول هذا  المفهوم في الفكر الغربي، وأهم هذه العناصر بحسب أحد الباحثين</w:t>
      </w:r>
      <w:r>
        <w:rPr>
          <w:rFonts w:cs="Microsoft Uighur"/>
          <w:szCs w:val="28"/>
          <w:rtl/>
        </w:rPr>
        <w:t xml:space="preserve">: تبدل النظرة  إلى الموت؛ إذ لم يعد الموت حدثاً طبيعيًا بل دخلت التقانة وتطور وسائل الموت  كما وسائل تطويل مدة الحياة بشكل اصطناعي، كما تحول الطب والأعمال الطبية  إلى استثمار يخشى من الأطباء أن يستغلوه ويفرطوا في العلاج حتى في الحالات  </w:t>
      </w:r>
    </w:p>
    <w:p w14:paraId="73227A16" w14:textId="77777777" w:rsidR="00A77B3E" w:rsidRDefault="00201914">
      <w:pPr>
        <w:bidi/>
        <w:spacing w:line="360" w:lineRule="auto"/>
        <w:jc w:val="lowKashida"/>
        <w:rPr>
          <w:rFonts w:cs="Microsoft Uighur"/>
          <w:szCs w:val="28"/>
          <w:rtl/>
        </w:rPr>
      </w:pPr>
      <w:r>
        <w:rPr>
          <w:rFonts w:cs="Microsoft Uighur"/>
          <w:szCs w:val="28"/>
          <w:rtl/>
        </w:rPr>
        <w:t xml:space="preserve">٢٤٦  </w:t>
      </w:r>
    </w:p>
    <w:p w14:paraId="0CB2938F" w14:textId="77777777" w:rsidR="00A77B3E" w:rsidRDefault="00201914">
      <w:pPr>
        <w:bidi/>
        <w:spacing w:line="360" w:lineRule="auto"/>
        <w:jc w:val="lowKashida"/>
        <w:rPr>
          <w:rFonts w:cs="Microsoft Uighur"/>
          <w:szCs w:val="28"/>
          <w:rtl/>
        </w:rPr>
      </w:pPr>
      <w:r>
        <w:rPr>
          <w:rFonts w:cs="Microsoft Uighur"/>
          <w:szCs w:val="28"/>
          <w:rtl/>
        </w:rPr>
        <w:t>الفقه المقارن</w:t>
      </w:r>
      <w:r>
        <w:rPr>
          <w:rFonts w:cs="Microsoft Uighur"/>
          <w:szCs w:val="28"/>
          <w:rtl/>
        </w:rPr>
        <w:t xml:space="preserve">  </w:t>
      </w:r>
    </w:p>
    <w:p w14:paraId="39D38847" w14:textId="77777777" w:rsidR="00A77B3E" w:rsidRDefault="00201914">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031FCF88"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76694FAC" w14:textId="77777777" w:rsidR="00A77B3E" w:rsidRDefault="00201914">
      <w:pPr>
        <w:bidi/>
        <w:spacing w:line="360" w:lineRule="auto"/>
        <w:jc w:val="lowKashida"/>
        <w:rPr>
          <w:rFonts w:cs="Microsoft Uighur"/>
          <w:szCs w:val="28"/>
          <w:rtl/>
        </w:rPr>
      </w:pPr>
      <w:r>
        <w:rPr>
          <w:rFonts w:cs="Microsoft Uighur"/>
          <w:szCs w:val="28"/>
          <w:rtl/>
        </w:rPr>
        <w:lastRenderedPageBreak/>
        <w:t>الميؤوس منها، وهو ما يسمى بـ"التعنت العلاجي، كما توسع مفهوم حقوق الإنسان  ليشمل كلا من الحياة ووضع حد وخاتمة لها (؟). ولمزيد من الوضوح نستعرض في  ما يأتي بعض العن</w:t>
      </w:r>
      <w:r>
        <w:rPr>
          <w:rFonts w:cs="Microsoft Uighur"/>
          <w:szCs w:val="28"/>
          <w:rtl/>
        </w:rPr>
        <w:t xml:space="preserve">اوين "الثانوية" التي يتمسك بها المشرع الغربي لإقرار القتل  الرحيم.  </w:t>
      </w:r>
    </w:p>
    <w:p w14:paraId="41226D53" w14:textId="77777777" w:rsidR="00A77B3E" w:rsidRDefault="00201914">
      <w:pPr>
        <w:bidi/>
        <w:spacing w:line="360" w:lineRule="auto"/>
        <w:jc w:val="lowKashida"/>
        <w:rPr>
          <w:rFonts w:cs="Microsoft Uighur"/>
          <w:szCs w:val="28"/>
          <w:rtl/>
        </w:rPr>
      </w:pPr>
      <w:r>
        <w:rPr>
          <w:rFonts w:cs="Microsoft Uighur"/>
          <w:szCs w:val="28"/>
          <w:rtl/>
        </w:rPr>
        <w:t xml:space="preserve">خلفيات تشريع القتل الرحيم  </w:t>
      </w:r>
    </w:p>
    <w:p w14:paraId="60C8F306" w14:textId="77777777" w:rsidR="00A77B3E" w:rsidRDefault="00201914">
      <w:pPr>
        <w:bidi/>
        <w:spacing w:line="360" w:lineRule="auto"/>
        <w:jc w:val="lowKashida"/>
        <w:rPr>
          <w:rFonts w:cs="Microsoft Uighur"/>
          <w:szCs w:val="28"/>
          <w:rtl/>
        </w:rPr>
      </w:pPr>
      <w:r>
        <w:rPr>
          <w:rFonts w:cs="Microsoft Uighur"/>
          <w:szCs w:val="28"/>
          <w:rtl/>
        </w:rPr>
        <w:t xml:space="preserve">1- قداسة الحياة في مقابل نوعيتها:  </w:t>
      </w:r>
    </w:p>
    <w:p w14:paraId="18202046" w14:textId="77777777" w:rsidR="00A77B3E" w:rsidRDefault="00201914">
      <w:pPr>
        <w:bidi/>
        <w:spacing w:line="360" w:lineRule="auto"/>
        <w:jc w:val="lowKashida"/>
        <w:rPr>
          <w:rFonts w:cs="Microsoft Uighur"/>
          <w:szCs w:val="28"/>
          <w:rtl/>
        </w:rPr>
      </w:pPr>
      <w:r>
        <w:rPr>
          <w:rFonts w:cs="Microsoft Uighur"/>
          <w:szCs w:val="28"/>
          <w:rtl/>
        </w:rPr>
        <w:t>قداسة (</w:t>
      </w:r>
      <w:proofErr w:type="spellStart"/>
      <w:r>
        <w:rPr>
          <w:rFonts w:cs="Microsoft Uighur"/>
          <w:szCs w:val="28"/>
        </w:rPr>
        <w:t>Sanctiry</w:t>
      </w:r>
      <w:proofErr w:type="spellEnd"/>
      <w:r>
        <w:rPr>
          <w:rFonts w:cs="Microsoft Uighur"/>
          <w:szCs w:val="28"/>
          <w:rtl/>
        </w:rPr>
        <w:t xml:space="preserve">) الحياة الإنسانية، ووجوب الحفاظ عليها من المسلمات التي  لا يبدو أنها تقبل النقاش في الفكر الغربي ولكن يبدو </w:t>
      </w:r>
      <w:r>
        <w:rPr>
          <w:rFonts w:cs="Microsoft Uighur"/>
          <w:szCs w:val="28"/>
          <w:rtl/>
        </w:rPr>
        <w:t>أن النظرة إلى الحياة في هذا  العصر بدأت تتغير، وصارت الحياة حقاً بكل ما لكلمة حق من معنى، وبما يتضمنه  ذلك من حق في التنازل عنه أو على الأقل في اختيار كيفه ونوعيته. ويظهر هذا في  مواقف كثير من المدافعين عن تشريع القتل الرحيم، والجمعيات التي تنادي بإقرار  ه</w:t>
      </w:r>
      <w:r>
        <w:rPr>
          <w:rFonts w:cs="Microsoft Uighur"/>
          <w:szCs w:val="28"/>
          <w:rtl/>
        </w:rPr>
        <w:t xml:space="preserve">ذا الحق على الأقل في الحالات التي يمكن أن يأخذ القتل فيه هذه الصفة (١٠).  وفي هذا المقام يجادل أحدهم قائلاً: كيف يمكن أن يكون بقاء المريض على قيد  الحياة ليموت ببطء، حتى ولو من دون ألم، خلال مدة أسابيع وذلك نتيجة توقفه  عن الطعام، ولا يجوز تشريع موته بشكل </w:t>
      </w:r>
      <w:r>
        <w:rPr>
          <w:rFonts w:cs="Microsoft Uighur"/>
          <w:szCs w:val="28"/>
          <w:rtl/>
        </w:rPr>
        <w:t xml:space="preserve">سريع بحقنه مادة قاتلة، والتخفيف على  أسرته مزيدا من العناء؟ بالنسبة لي أجد من الصعوبة بمكان تقديم جواب أخلاقي  عن هذا السؤال....(11). والسؤال الذي يطرح هنا هو من الذي يحق له اتخاذ القرار  بأن نوعية الحياة هذه لا تساوي المعاناة المقارنة لها.  </w:t>
      </w:r>
    </w:p>
    <w:p w14:paraId="2382D0E8" w14:textId="77777777" w:rsidR="00A77B3E" w:rsidRDefault="00201914">
      <w:pPr>
        <w:bidi/>
        <w:spacing w:line="360" w:lineRule="auto"/>
        <w:jc w:val="lowKashida"/>
        <w:rPr>
          <w:rFonts w:cs="Microsoft Uighur"/>
          <w:szCs w:val="28"/>
          <w:rtl/>
        </w:rPr>
      </w:pPr>
      <w:r>
        <w:rPr>
          <w:rFonts w:cs="Microsoft Uighur"/>
          <w:szCs w:val="28"/>
          <w:rtl/>
        </w:rPr>
        <w:t xml:space="preserve">القتل والإذن </w:t>
      </w:r>
      <w:r>
        <w:rPr>
          <w:rFonts w:cs="Microsoft Uighur"/>
          <w:szCs w:val="28"/>
          <w:rtl/>
        </w:rPr>
        <w:t xml:space="preserve">في الموت  </w:t>
      </w:r>
    </w:p>
    <w:p w14:paraId="6C9525F3" w14:textId="77777777" w:rsidR="00A77B3E" w:rsidRDefault="00201914">
      <w:pPr>
        <w:bidi/>
        <w:spacing w:line="360" w:lineRule="auto"/>
        <w:jc w:val="lowKashida"/>
        <w:rPr>
          <w:rFonts w:cs="Microsoft Uighur"/>
          <w:szCs w:val="28"/>
          <w:rtl/>
        </w:rPr>
      </w:pPr>
      <w:r>
        <w:rPr>
          <w:rFonts w:cs="Microsoft Uighur"/>
          <w:szCs w:val="28"/>
          <w:rtl/>
        </w:rPr>
        <w:t xml:space="preserve">ينطلق كثير من المدافعين عن القتل الرحيم من ضرورة التميز بين القتل  الناتج عن تدخل الطبيب أو غيره، وبين ترك المريض لقدره المحتوم الذي هو  الموت (١٢)  </w:t>
      </w:r>
    </w:p>
    <w:p w14:paraId="30DDDB08" w14:textId="77777777" w:rsidR="00A77B3E" w:rsidRDefault="00201914">
      <w:pPr>
        <w:bidi/>
        <w:spacing w:line="360" w:lineRule="auto"/>
        <w:jc w:val="lowKashida"/>
        <w:rPr>
          <w:rFonts w:cs="Microsoft Uighur"/>
          <w:szCs w:val="28"/>
          <w:rtl/>
        </w:rPr>
      </w:pPr>
      <w:r>
        <w:rPr>
          <w:rFonts w:cs="Microsoft Uighur"/>
          <w:szCs w:val="28"/>
          <w:rtl/>
        </w:rPr>
        <w:t xml:space="preserve">٢٤٧ </w:t>
      </w:r>
    </w:p>
    <w:p w14:paraId="4A289035"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113113FA" w14:textId="77777777" w:rsidR="00A77B3E" w:rsidRDefault="00201914">
      <w:pPr>
        <w:bidi/>
        <w:spacing w:line="360" w:lineRule="auto"/>
        <w:jc w:val="lowKashida"/>
        <w:rPr>
          <w:rFonts w:cs="Microsoft Uighur"/>
          <w:szCs w:val="28"/>
          <w:rtl/>
        </w:rPr>
      </w:pPr>
      <w:r>
        <w:rPr>
          <w:rFonts w:cs="Microsoft Uighur"/>
          <w:szCs w:val="28"/>
          <w:rtl/>
        </w:rPr>
        <w:t xml:space="preserve">التكاليف الاقتصادية  </w:t>
      </w:r>
    </w:p>
    <w:p w14:paraId="22D825AE" w14:textId="77777777" w:rsidR="00A77B3E" w:rsidRDefault="00201914">
      <w:pPr>
        <w:bidi/>
        <w:spacing w:line="360" w:lineRule="auto"/>
        <w:jc w:val="lowKashida"/>
        <w:rPr>
          <w:rFonts w:cs="Microsoft Uighur"/>
          <w:szCs w:val="28"/>
          <w:rtl/>
        </w:rPr>
      </w:pPr>
      <w:r>
        <w:rPr>
          <w:rFonts w:cs="Microsoft Uighur"/>
          <w:szCs w:val="28"/>
          <w:rtl/>
        </w:rPr>
        <w:t>لا يخفى على أحد أن كما كبيرا من الأموال تنفق على الع</w:t>
      </w:r>
      <w:r>
        <w:rPr>
          <w:rFonts w:cs="Microsoft Uighur"/>
          <w:szCs w:val="28"/>
          <w:rtl/>
        </w:rPr>
        <w:t>لاج والدواء.  والخيارات المتصورة في المنفق هي: المريض، وأسرته، والدولة، وشركات  التأمين. وعلى جميع الاحتمالات يجادل بعض أنصار القتل الرحيم بأن ثمة  تزاحماً بين المحافظة على حياة شخص بلغ من الكبر عتيا، أو بلغ منه المرض  مبلغاً. وبين الإنفاق على أمور أخرى من</w:t>
      </w:r>
      <w:r>
        <w:rPr>
          <w:rFonts w:cs="Microsoft Uighur"/>
          <w:szCs w:val="28"/>
          <w:rtl/>
        </w:rPr>
        <w:t xml:space="preserve">ها معالجة من يُرجى شفاؤهم بدرجة  أكبر. وبناء على قاعدة التزاحم ورغبة في التوفير الاقتصادي. يدعو هؤلاء إلى ما  يدعون إليه (١٣).  </w:t>
      </w:r>
    </w:p>
    <w:p w14:paraId="592A3F1A" w14:textId="77777777" w:rsidR="00A77B3E" w:rsidRDefault="00201914">
      <w:pPr>
        <w:bidi/>
        <w:spacing w:line="360" w:lineRule="auto"/>
        <w:jc w:val="lowKashida"/>
        <w:rPr>
          <w:rFonts w:cs="Microsoft Uighur"/>
          <w:szCs w:val="28"/>
          <w:rtl/>
        </w:rPr>
      </w:pPr>
      <w:r>
        <w:rPr>
          <w:rFonts w:cs="Microsoft Uighur"/>
          <w:szCs w:val="28"/>
          <w:rtl/>
        </w:rPr>
        <w:t xml:space="preserve">معايير أخرى:  </w:t>
      </w:r>
    </w:p>
    <w:p w14:paraId="44C3BFCE" w14:textId="77777777" w:rsidR="00A77B3E" w:rsidRDefault="00201914">
      <w:pPr>
        <w:bidi/>
        <w:spacing w:line="360" w:lineRule="auto"/>
        <w:jc w:val="lowKashida"/>
        <w:rPr>
          <w:rFonts w:cs="Microsoft Uighur"/>
          <w:szCs w:val="28"/>
          <w:rtl/>
        </w:rPr>
      </w:pPr>
      <w:r>
        <w:rPr>
          <w:rFonts w:cs="Microsoft Uighur"/>
          <w:szCs w:val="28"/>
          <w:rtl/>
        </w:rPr>
        <w:t xml:space="preserve">وفي سياق الحديث عن مبررات تشريع القتل الرحيم أشير إلى مجموعة من  المعايير التي يطرحها أحد الباحثين لتبرير هذا الفعل، أو على الأقل لتبرير النقاش  فيه، وهذه المعايير هي:  </w:t>
      </w:r>
    </w:p>
    <w:p w14:paraId="24A2293D" w14:textId="77777777" w:rsidR="00A77B3E" w:rsidRDefault="00201914">
      <w:pPr>
        <w:bidi/>
        <w:spacing w:line="360" w:lineRule="auto"/>
        <w:jc w:val="lowKashida"/>
        <w:rPr>
          <w:rFonts w:cs="Microsoft Uighur"/>
          <w:szCs w:val="28"/>
          <w:rtl/>
        </w:rPr>
      </w:pPr>
      <w:r>
        <w:rPr>
          <w:rFonts w:cs="Microsoft Uighur"/>
          <w:szCs w:val="28"/>
          <w:rtl/>
        </w:rPr>
        <w:t xml:space="preserve">مستوى الألم الذي يقاسيه المريض على الرغم من المسكنات التي تعطى  له  </w:t>
      </w:r>
    </w:p>
    <w:p w14:paraId="7C14D61C" w14:textId="77777777" w:rsidR="00A77B3E" w:rsidRDefault="00201914">
      <w:pPr>
        <w:bidi/>
        <w:spacing w:line="360" w:lineRule="auto"/>
        <w:jc w:val="lowKashida"/>
        <w:rPr>
          <w:rFonts w:cs="Microsoft Uighur"/>
          <w:szCs w:val="28"/>
          <w:rtl/>
        </w:rPr>
      </w:pPr>
      <w:r>
        <w:rPr>
          <w:rFonts w:cs="Microsoft Uighur"/>
          <w:szCs w:val="28"/>
          <w:rtl/>
        </w:rPr>
        <w:t>درجة إصرار المريض</w:t>
      </w:r>
      <w:r>
        <w:rPr>
          <w:rFonts w:cs="Microsoft Uighur"/>
          <w:szCs w:val="28"/>
          <w:rtl/>
        </w:rPr>
        <w:t xml:space="preserve"> على المطالبة بإنهاء حياته؟  </w:t>
      </w:r>
    </w:p>
    <w:p w14:paraId="4666DEEA" w14:textId="77777777" w:rsidR="00A77B3E" w:rsidRDefault="00201914">
      <w:pPr>
        <w:bidi/>
        <w:spacing w:line="360" w:lineRule="auto"/>
        <w:jc w:val="lowKashida"/>
        <w:rPr>
          <w:rFonts w:cs="Microsoft Uighur"/>
          <w:szCs w:val="28"/>
          <w:rtl/>
        </w:rPr>
      </w:pPr>
      <w:r>
        <w:rPr>
          <w:rFonts w:cs="Microsoft Uighur"/>
          <w:szCs w:val="28"/>
          <w:rtl/>
        </w:rPr>
        <w:t xml:space="preserve">عمر المريض؛  </w:t>
      </w:r>
    </w:p>
    <w:p w14:paraId="7382A2D4" w14:textId="77777777" w:rsidR="00A77B3E" w:rsidRDefault="00201914">
      <w:pPr>
        <w:bidi/>
        <w:spacing w:line="360" w:lineRule="auto"/>
        <w:jc w:val="lowKashida"/>
        <w:rPr>
          <w:rFonts w:cs="Microsoft Uighur"/>
          <w:szCs w:val="28"/>
          <w:rtl/>
        </w:rPr>
      </w:pPr>
      <w:r>
        <w:rPr>
          <w:rFonts w:cs="Microsoft Uighur"/>
          <w:szCs w:val="28"/>
          <w:rtl/>
        </w:rPr>
        <w:t xml:space="preserve">مستوى احتمال الشفاء من المرض الذي يعاني منه المريض (١٤).  </w:t>
      </w:r>
    </w:p>
    <w:p w14:paraId="75AD8776" w14:textId="77777777" w:rsidR="00A77B3E" w:rsidRDefault="00201914">
      <w:pPr>
        <w:bidi/>
        <w:spacing w:line="360" w:lineRule="auto"/>
        <w:jc w:val="lowKashida"/>
        <w:rPr>
          <w:rFonts w:cs="Microsoft Uighur"/>
          <w:szCs w:val="28"/>
          <w:rtl/>
        </w:rPr>
      </w:pPr>
      <w:r>
        <w:rPr>
          <w:rFonts w:cs="Microsoft Uighur"/>
          <w:szCs w:val="28"/>
          <w:rtl/>
        </w:rPr>
        <w:lastRenderedPageBreak/>
        <w:t>وأخيراً أختم بما يمكن عده تعريفا علميا لهذا المفهوم، يُضاف إليه مجموعة  من الأسئلة المعبرة عن جوهر النقاش ومبررات المواقف التي يمكن أن تتخذ من  المفهوم ا</w:t>
      </w:r>
      <w:r>
        <w:rPr>
          <w:rFonts w:cs="Microsoft Uighur"/>
          <w:szCs w:val="28"/>
          <w:rtl/>
        </w:rPr>
        <w:t>لذي نحن بصدد معالجته. يقول جون كييون (</w:t>
      </w:r>
      <w:r>
        <w:rPr>
          <w:rFonts w:cs="Microsoft Uighur"/>
          <w:szCs w:val="28"/>
        </w:rPr>
        <w:t>John Keown</w:t>
      </w:r>
      <w:r>
        <w:rPr>
          <w:rFonts w:cs="Microsoft Uighur"/>
          <w:szCs w:val="28"/>
          <w:rtl/>
        </w:rPr>
        <w:t xml:space="preserve">): «القتل  الرحيم هو قتل المريض، بالإقدام على فعل يؤدي إلى موته، أو بالتخلي عن  الأساليب التي تساهم في تطويل حياته، وذلك في سياق العمل الطبي الذي هو  العناية الطبية بالمريض.... والأسئلة التي يدور النقاش فيها </w:t>
      </w:r>
      <w:r>
        <w:rPr>
          <w:rFonts w:cs="Microsoft Uighur"/>
          <w:szCs w:val="28"/>
          <w:rtl/>
        </w:rPr>
        <w:t xml:space="preserve">كثيرة منها: هل من الخطأ  </w:t>
      </w:r>
    </w:p>
    <w:p w14:paraId="1D32C22A" w14:textId="77777777" w:rsidR="00A77B3E" w:rsidRDefault="00201914">
      <w:pPr>
        <w:bidi/>
        <w:spacing w:line="360" w:lineRule="auto"/>
        <w:jc w:val="lowKashida"/>
        <w:rPr>
          <w:rFonts w:cs="Microsoft Uighur"/>
          <w:szCs w:val="28"/>
          <w:rtl/>
        </w:rPr>
      </w:pPr>
      <w:r>
        <w:rPr>
          <w:rFonts w:cs="Microsoft Uighur"/>
          <w:szCs w:val="28"/>
          <w:rtl/>
        </w:rPr>
        <w:t xml:space="preserve">٢٤٨  </w:t>
      </w:r>
    </w:p>
    <w:p w14:paraId="3F4F8852" w14:textId="77777777" w:rsidR="00A77B3E" w:rsidRDefault="00201914">
      <w:pPr>
        <w:bidi/>
        <w:spacing w:line="360" w:lineRule="auto"/>
        <w:jc w:val="lowKashida"/>
        <w:rPr>
          <w:rFonts w:cs="Microsoft Uighur"/>
          <w:szCs w:val="28"/>
          <w:rtl/>
        </w:rPr>
      </w:pPr>
      <w:r>
        <w:rPr>
          <w:rFonts w:cs="Microsoft Uighur"/>
          <w:szCs w:val="28"/>
          <w:rtl/>
        </w:rPr>
        <w:t xml:space="preserve">الفقه المقارن  </w:t>
      </w:r>
    </w:p>
    <w:p w14:paraId="692D7B11" w14:textId="77777777" w:rsidR="00A77B3E" w:rsidRDefault="00201914">
      <w:pPr>
        <w:bidi/>
        <w:spacing w:line="360" w:lineRule="auto"/>
        <w:jc w:val="lowKashida"/>
        <w:rPr>
          <w:rFonts w:cs="Microsoft Uighur"/>
          <w:szCs w:val="28"/>
          <w:rtl/>
        </w:rPr>
      </w:pPr>
      <w:r>
        <w:rPr>
          <w:rFonts w:cs="Microsoft Uighur"/>
          <w:szCs w:val="28"/>
          <w:rtl/>
        </w:rPr>
        <w:t xml:space="preserve">- العددان (٥٤) السنة الثانية ٫ ربيع - صيف ٢٠١٤م </w:t>
      </w:r>
    </w:p>
    <w:p w14:paraId="10D72DBF"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2A02A173" w14:textId="77777777" w:rsidR="00A77B3E" w:rsidRDefault="00201914">
      <w:pPr>
        <w:bidi/>
        <w:spacing w:line="360" w:lineRule="auto"/>
        <w:jc w:val="lowKashida"/>
        <w:rPr>
          <w:rFonts w:cs="Microsoft Uighur"/>
          <w:szCs w:val="28"/>
          <w:rtl/>
        </w:rPr>
      </w:pPr>
      <w:r>
        <w:rPr>
          <w:rFonts w:cs="Microsoft Uighur"/>
          <w:szCs w:val="28"/>
          <w:rtl/>
        </w:rPr>
        <w:t>إقدام الطبيب على قتل المريض عمدا حتى في الحالات التي يعاني فيها من الألم  ويطلب الموت طلباً حثيثاً؟ هل من الإحسان واح</w:t>
      </w:r>
      <w:r>
        <w:rPr>
          <w:rFonts w:cs="Microsoft Uighur"/>
          <w:szCs w:val="28"/>
          <w:rtl/>
        </w:rPr>
        <w:t xml:space="preserve">ترام السلطة الذاتية للمريض أن لا  يقدم الطبيب على تلبية طلبه واحترام رغبته ؟ هل يتمتع المرضى بـ "الحق بالموت"،  وإذا كان الأمر كذلك فما معنى الحق في الموت؟ هل ثمة تمييز بين حياة وحياة،  وهل أن بعض الحيوات هي التي تستأهل المحافظة عليها؟ وإذا كان الأمر كذلك </w:t>
      </w:r>
      <w:r>
        <w:rPr>
          <w:rFonts w:cs="Microsoft Uighur"/>
          <w:szCs w:val="28"/>
          <w:rtl/>
        </w:rPr>
        <w:t xml:space="preserve"> فما هي ولماذا؟ وهل ثمة فارق بين القتل الرحيم الإيجابي وبين ترك المريض  لقدره وترك معالجته؟ أو هل من فرق بين القتل الرحيم وبين المساعدة على  الانتحار"؟ هل يمكن التمييز بين القتل الرحيم الطوعي وبين القتل الرحيم غير  الطوعي الذي لا يطلبه المريض ؟ وهل تقييد ا</w:t>
      </w:r>
      <w:r>
        <w:rPr>
          <w:rFonts w:cs="Microsoft Uighur"/>
          <w:szCs w:val="28"/>
          <w:rtl/>
        </w:rPr>
        <w:t xml:space="preserve">لقتل الرحيم بطلب المريض يكفي  للوقاية دون التورط في المنحدر الزلق المفضي إلى القتل الرحيم غير الطوعي؟ هل  تبقى الحياة مجدية حتى بصورتها النباتية، أم يجب التوقف عن إطعام المرضى  الذين يصلون إلى هذه الحالة ؟ (١٥)  </w:t>
      </w:r>
    </w:p>
    <w:p w14:paraId="41F880EF" w14:textId="77777777" w:rsidR="00A77B3E" w:rsidRDefault="00201914">
      <w:pPr>
        <w:bidi/>
        <w:spacing w:line="360" w:lineRule="auto"/>
        <w:jc w:val="lowKashida"/>
        <w:rPr>
          <w:rFonts w:cs="Microsoft Uighur"/>
          <w:szCs w:val="28"/>
          <w:rtl/>
        </w:rPr>
      </w:pPr>
      <w:r>
        <w:rPr>
          <w:rFonts w:cs="Microsoft Uighur"/>
          <w:szCs w:val="28"/>
          <w:rtl/>
        </w:rPr>
        <w:t>ومن التعريفات التي ذكرت للقتل الرحيم واستخد</w:t>
      </w:r>
      <w:r>
        <w:rPr>
          <w:rFonts w:cs="Microsoft Uighur"/>
          <w:szCs w:val="28"/>
          <w:rtl/>
        </w:rPr>
        <w:t>مها الباحثون في الفقه  الإسلامي إلى حد يمكن اعتبارها أشهر التعريفات تعريفه بأنه: "إجراء تدخل  متعمد مع الإعلان عن النية في إنهاء حياة، للتخفيف من معاناة مستعصية على  الحل . وقيل ما يقرب من هذا المعنى في عدد من الدراسات منها: "هو استجابة  الطبيب المعالج لرغ</w:t>
      </w:r>
      <w:r>
        <w:rPr>
          <w:rFonts w:cs="Microsoft Uighur"/>
          <w:szCs w:val="28"/>
          <w:rtl/>
        </w:rPr>
        <w:t xml:space="preserve">بة مريضه بإنهاء حياته؛ نتيجة لمعاناة هذا المريض من آلام  مبرحة لا يمكن تحملها، والميئوس من شفائها نهائيا وقطعيا (١٧)  </w:t>
      </w:r>
    </w:p>
    <w:p w14:paraId="75772797" w14:textId="77777777" w:rsidR="00A77B3E" w:rsidRDefault="00201914">
      <w:pPr>
        <w:bidi/>
        <w:spacing w:line="360" w:lineRule="auto"/>
        <w:jc w:val="lowKashida"/>
        <w:rPr>
          <w:rFonts w:cs="Microsoft Uighur"/>
          <w:szCs w:val="28"/>
          <w:rtl/>
        </w:rPr>
      </w:pPr>
      <w:r>
        <w:rPr>
          <w:rFonts w:cs="Microsoft Uighur"/>
          <w:szCs w:val="28"/>
          <w:rtl/>
        </w:rPr>
        <w:t>وبعد هذا التقديم ننتقل إلى بيان الحكم ونبدأ أولاً بتحديد الأصول والمبادئ  الأولية التي تؤسس لحكم القتل في الشريعة الإسلامية، ثم ننتقل بعد</w:t>
      </w:r>
      <w:r>
        <w:rPr>
          <w:rFonts w:cs="Microsoft Uighur"/>
          <w:szCs w:val="28"/>
          <w:rtl/>
        </w:rPr>
        <w:t xml:space="preserve"> ذلك إلى  تاريخية هذه المسألة في الفقه الإسلامي، ونعرض بالذكر لبعض الدراسات السابقة  في هذا المجال على أن ننتقل بعد ذلك إلى بيان ما نراه الأصوب منهجيا في معالجة  هذا الموضوع.  </w:t>
      </w:r>
    </w:p>
    <w:p w14:paraId="7736B2BB" w14:textId="77777777" w:rsidR="00A77B3E" w:rsidRDefault="00201914">
      <w:pPr>
        <w:bidi/>
        <w:spacing w:line="360" w:lineRule="auto"/>
        <w:jc w:val="lowKashida"/>
        <w:rPr>
          <w:rFonts w:cs="Microsoft Uighur"/>
          <w:szCs w:val="28"/>
          <w:rtl/>
        </w:rPr>
      </w:pPr>
      <w:r>
        <w:rPr>
          <w:rFonts w:cs="Microsoft Uighur"/>
          <w:szCs w:val="28"/>
          <w:rtl/>
        </w:rPr>
        <w:t xml:space="preserve">٢٤٩ </w:t>
      </w:r>
    </w:p>
    <w:p w14:paraId="087398E9"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55BDE88D"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مقاربة إسلامية  </w:t>
      </w:r>
    </w:p>
    <w:p w14:paraId="718F551E" w14:textId="77777777" w:rsidR="00A77B3E" w:rsidRDefault="00201914">
      <w:pPr>
        <w:bidi/>
        <w:spacing w:line="360" w:lineRule="auto"/>
        <w:jc w:val="lowKashida"/>
        <w:rPr>
          <w:rFonts w:cs="Microsoft Uighur"/>
          <w:szCs w:val="28"/>
          <w:rtl/>
        </w:rPr>
      </w:pPr>
      <w:r>
        <w:rPr>
          <w:rFonts w:cs="Microsoft Uighur"/>
          <w:szCs w:val="28"/>
          <w:rtl/>
        </w:rPr>
        <w:t xml:space="preserve">الأصل الأولي في القتل:  </w:t>
      </w:r>
    </w:p>
    <w:p w14:paraId="22C14F52" w14:textId="77777777" w:rsidR="00A77B3E" w:rsidRDefault="00201914">
      <w:pPr>
        <w:bidi/>
        <w:spacing w:line="360" w:lineRule="auto"/>
        <w:jc w:val="lowKashida"/>
        <w:rPr>
          <w:rFonts w:cs="Microsoft Uighur"/>
          <w:szCs w:val="28"/>
          <w:rtl/>
        </w:rPr>
      </w:pPr>
      <w:r>
        <w:rPr>
          <w:rFonts w:cs="Microsoft Uighur"/>
          <w:szCs w:val="28"/>
          <w:rtl/>
        </w:rPr>
        <w:lastRenderedPageBreak/>
        <w:t>حرم</w:t>
      </w:r>
      <w:r>
        <w:rPr>
          <w:rFonts w:cs="Microsoft Uighur"/>
          <w:szCs w:val="28"/>
          <w:rtl/>
        </w:rPr>
        <w:t>ة القتل ووجوب المحافظة على الحياة من المبادئ الأولية التي يوجد في  الإسلام الكثير من الأدلة الدالة عليها، وذلك من الكتاب والسنة وغيرها من الأدلة  التي يعتمدها الفقهاء في استدلالاتهم الفقهية؛ ولوضوح هذا الأمر نكتفي باستعراض  بعض الآيات من القرآن الكريم، ولا</w:t>
      </w:r>
      <w:r>
        <w:rPr>
          <w:rFonts w:cs="Microsoft Uighur"/>
          <w:szCs w:val="28"/>
          <w:rtl/>
        </w:rPr>
        <w:t xml:space="preserve"> نرى ضرورة لاستعراض سائرة الأدلة؛ لوضوح حرمة القتل في الشريعة الإسلامية:  </w:t>
      </w:r>
    </w:p>
    <w:p w14:paraId="6D0CB429" w14:textId="77777777" w:rsidR="00A77B3E" w:rsidRDefault="00201914">
      <w:pPr>
        <w:bidi/>
        <w:spacing w:line="360" w:lineRule="auto"/>
        <w:jc w:val="lowKashida"/>
        <w:rPr>
          <w:rFonts w:cs="Microsoft Uighur"/>
          <w:szCs w:val="28"/>
          <w:rtl/>
        </w:rPr>
      </w:pPr>
      <w:r>
        <w:rPr>
          <w:rFonts w:cs="Microsoft Uighur"/>
          <w:szCs w:val="28"/>
          <w:rtl/>
        </w:rPr>
        <w:t xml:space="preserve">... وَلَا تَقْتُلُوا النَّفْسَ الَّتِي حَرَّمَ اللَّهُ إِلَّا بِالْحَقِّ ذَلِكُمْ وَصَاكُمْ بِهِ لَعَلَّكُمْ  (۱۸)  تَعْقِلُونَ (٨)  </w:t>
      </w:r>
    </w:p>
    <w:p w14:paraId="1B686BA7" w14:textId="77777777" w:rsidR="00A77B3E" w:rsidRDefault="00201914">
      <w:pPr>
        <w:bidi/>
        <w:spacing w:line="360" w:lineRule="auto"/>
        <w:jc w:val="lowKashida"/>
        <w:rPr>
          <w:rFonts w:cs="Microsoft Uighur"/>
          <w:szCs w:val="28"/>
          <w:rtl/>
        </w:rPr>
      </w:pPr>
      <w:r>
        <w:rPr>
          <w:rFonts w:cs="Microsoft Uighur"/>
          <w:szCs w:val="28"/>
          <w:rtl/>
        </w:rPr>
        <w:t xml:space="preserve">(۱۹)  وَلَا تَقْتُلُوا النَّفْسَ الَّتِي حَرَّمَ اللهُ إِلا بِالحَقِّ وَمَن قُتِلَ مَظْلُومًا فَقَدْ  جَعَلْنَا لِوَلِيْهِ سُلْطَانًا فَلَا يُسْرِف فِي الْقَتْلِ إِنَّهُ كَانَ مَنْصُورًا (١٩)  </w:t>
      </w:r>
    </w:p>
    <w:p w14:paraId="0FF6A8BB" w14:textId="77777777" w:rsidR="00A77B3E" w:rsidRDefault="00201914">
      <w:pPr>
        <w:bidi/>
        <w:spacing w:line="360" w:lineRule="auto"/>
        <w:jc w:val="lowKashida"/>
        <w:rPr>
          <w:rFonts w:cs="Microsoft Uighur"/>
          <w:szCs w:val="28"/>
          <w:rtl/>
        </w:rPr>
      </w:pPr>
      <w:r>
        <w:rPr>
          <w:rFonts w:cs="Microsoft Uighur"/>
          <w:szCs w:val="28"/>
          <w:rtl/>
        </w:rPr>
        <w:t>ويضاف إلى هذه الآيات ما يدل على حرمة قتل الأولاد خشية الفقر (٢</w:t>
      </w:r>
      <w:r>
        <w:rPr>
          <w:rFonts w:cs="Microsoft Uighur"/>
          <w:szCs w:val="28"/>
          <w:rtl/>
        </w:rPr>
        <w:t>٠)  وتحريم قتل البنت خشية العار كما كان من سنن الجاهلية قبل الإسلام (1). ومن  التشريعات الإسلامية الدالة على حرمة القتل عقوبة الإعدام وهو ما يعرف  بالقصاص في الفقه الإسلامي ما يدل على أن أصل الفعل جريمة يعاقب عليها  (۲۲)  الشرع؛ إذا لا عقاب إلا في جرم (٢٢)</w:t>
      </w:r>
      <w:r>
        <w:rPr>
          <w:rFonts w:cs="Microsoft Uighur"/>
          <w:szCs w:val="28"/>
          <w:rtl/>
        </w:rPr>
        <w:t xml:space="preserve">.  </w:t>
      </w:r>
    </w:p>
    <w:p w14:paraId="04B3D738" w14:textId="77777777" w:rsidR="00A77B3E" w:rsidRDefault="00201914">
      <w:pPr>
        <w:bidi/>
        <w:spacing w:line="360" w:lineRule="auto"/>
        <w:jc w:val="lowKashida"/>
        <w:rPr>
          <w:rFonts w:cs="Microsoft Uighur"/>
          <w:szCs w:val="28"/>
          <w:rtl/>
        </w:rPr>
      </w:pPr>
      <w:r>
        <w:rPr>
          <w:rFonts w:cs="Microsoft Uighur"/>
          <w:szCs w:val="28"/>
          <w:rtl/>
        </w:rPr>
        <w:t xml:space="preserve">حفظ الحياة مقصد شرعي:  </w:t>
      </w:r>
    </w:p>
    <w:p w14:paraId="02542530" w14:textId="77777777" w:rsidR="00A77B3E" w:rsidRDefault="00201914">
      <w:pPr>
        <w:bidi/>
        <w:spacing w:line="360" w:lineRule="auto"/>
        <w:jc w:val="lowKashida"/>
        <w:rPr>
          <w:rFonts w:cs="Microsoft Uighur"/>
          <w:szCs w:val="28"/>
          <w:rtl/>
        </w:rPr>
      </w:pPr>
      <w:r>
        <w:rPr>
          <w:rFonts w:cs="Microsoft Uighur"/>
          <w:szCs w:val="28"/>
          <w:rtl/>
        </w:rPr>
        <w:t>يذكر عدد من الفقهاء أن الشريعة الإسلامية لها مقاصد كبرى تهدف إلى  تحقيقها والحفاظ عليها. وعلى رأس هذه المقاصد الكبرى الحياة الإنسانية أو ما  يسمى في الفقه الإسلامي بـ "النفس". وهذا من الأمور الإجماعية في الفقه  الإسلامي (۳۳) ولي</w:t>
      </w:r>
      <w:r>
        <w:rPr>
          <w:rFonts w:cs="Microsoft Uighur"/>
          <w:szCs w:val="28"/>
          <w:rtl/>
        </w:rPr>
        <w:t xml:space="preserve">س هذا فحسب بل إن الفقهاء يضعون لأنفسهم خطا أحمر هو  التهجم على الدماء، فتجدهم يترددون في الفتوى بدليل روائي يمكن أن يفتوا  </w:t>
      </w:r>
    </w:p>
    <w:p w14:paraId="71234B7F" w14:textId="77777777" w:rsidR="00A77B3E" w:rsidRDefault="0020191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721435A8" w14:textId="77777777" w:rsidR="00A77B3E" w:rsidRDefault="00201914">
      <w:pPr>
        <w:bidi/>
        <w:spacing w:line="360" w:lineRule="auto"/>
        <w:jc w:val="lowKashida"/>
        <w:rPr>
          <w:rFonts w:cs="Microsoft Uighur"/>
          <w:szCs w:val="28"/>
          <w:rtl/>
        </w:rPr>
      </w:pPr>
      <w:r>
        <w:rPr>
          <w:rFonts w:cs="Microsoft Uighur"/>
          <w:szCs w:val="28"/>
          <w:rtl/>
        </w:rPr>
        <w:t xml:space="preserve">٢٥٠ </w:t>
      </w:r>
    </w:p>
    <w:p w14:paraId="0C5B5BCE"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27DDA55C" w14:textId="77777777" w:rsidR="00A77B3E" w:rsidRDefault="00201914">
      <w:pPr>
        <w:bidi/>
        <w:spacing w:line="360" w:lineRule="auto"/>
        <w:jc w:val="lowKashida"/>
        <w:rPr>
          <w:rFonts w:cs="Microsoft Uighur"/>
          <w:szCs w:val="28"/>
          <w:rtl/>
        </w:rPr>
      </w:pPr>
      <w:r>
        <w:rPr>
          <w:rFonts w:cs="Microsoft Uighur"/>
          <w:szCs w:val="28"/>
          <w:rtl/>
        </w:rPr>
        <w:t>بالاستناد إلى مثله ل</w:t>
      </w:r>
      <w:r>
        <w:rPr>
          <w:rFonts w:cs="Microsoft Uighur"/>
          <w:szCs w:val="28"/>
          <w:rtl/>
        </w:rPr>
        <w:t xml:space="preserve">و كان الأمر في غير الدماء. وقد عبروا عن هذا التحفظ بقولهم:  "لا يمكن التهجم بأخبار الآحاد في الدماء وقد تكرر هذا في نقاشاتهم حتى يكاد  المرء يشعر بأنه قاعدة فقهية أو أصولية تلزم الفقيه بعدم تجاوزها.  </w:t>
      </w:r>
    </w:p>
    <w:p w14:paraId="7D1D84BF" w14:textId="77777777" w:rsidR="00A77B3E" w:rsidRDefault="00201914">
      <w:pPr>
        <w:bidi/>
        <w:spacing w:line="360" w:lineRule="auto"/>
        <w:jc w:val="lowKashida"/>
        <w:rPr>
          <w:rFonts w:cs="Microsoft Uighur"/>
          <w:szCs w:val="28"/>
          <w:rtl/>
        </w:rPr>
      </w:pPr>
      <w:r>
        <w:rPr>
          <w:rFonts w:cs="Microsoft Uighur"/>
          <w:szCs w:val="28"/>
          <w:rtl/>
        </w:rPr>
        <w:t xml:space="preserve">من التراث الفقهي الإسلامي:  </w:t>
      </w:r>
    </w:p>
    <w:p w14:paraId="707A9AC8" w14:textId="77777777" w:rsidR="00A77B3E" w:rsidRDefault="00201914">
      <w:pPr>
        <w:bidi/>
        <w:spacing w:line="360" w:lineRule="auto"/>
        <w:jc w:val="lowKashida"/>
        <w:rPr>
          <w:rFonts w:cs="Microsoft Uighur"/>
          <w:szCs w:val="28"/>
          <w:rtl/>
        </w:rPr>
      </w:pPr>
      <w:r>
        <w:rPr>
          <w:rFonts w:cs="Microsoft Uighur"/>
          <w:szCs w:val="28"/>
          <w:rtl/>
        </w:rPr>
        <w:t xml:space="preserve">يكشف التأمل في مسألة القتل الرحيم عن إمكان طرحها في الفقه الإسلامي.  </w:t>
      </w:r>
    </w:p>
    <w:p w14:paraId="2A90CD30" w14:textId="77777777" w:rsidR="00A77B3E" w:rsidRDefault="00201914">
      <w:pPr>
        <w:bidi/>
        <w:spacing w:line="360" w:lineRule="auto"/>
        <w:jc w:val="lowKashida"/>
        <w:rPr>
          <w:rFonts w:cs="Microsoft Uighur"/>
          <w:szCs w:val="28"/>
          <w:rtl/>
        </w:rPr>
      </w:pPr>
      <w:r>
        <w:rPr>
          <w:rFonts w:cs="Microsoft Uighur"/>
          <w:szCs w:val="28"/>
          <w:rtl/>
        </w:rPr>
        <w:t>فهي ليست جديدة بالكامل؛ وذلك أن من الممكن أن يتساءل الفقهاء في تلك  الأيام وبخاصة أن المسلمين قد خاضوا كثيراً من المعارك وجرح لهم جرحي ينسوا  من برنهم ثم است</w:t>
      </w:r>
      <w:r>
        <w:rPr>
          <w:rFonts w:cs="Microsoft Uighur"/>
          <w:szCs w:val="28"/>
          <w:rtl/>
        </w:rPr>
        <w:t>شهدوا وهم يكابدون الآلام، فما المانع من طرح هذا السؤال على  أنفهسم. ويبدو لي أن سبب السكوت هو وضوح الخرمة لا أن المسألة لم تكن  مطروحة في أذهانهم في تلك الأيام. وبالتالي لا يبدو لي صحة تصنيف هذه  المسألة بين المستحدثات أو النوازل كما فعل عدد ممن عالجها وبح</w:t>
      </w:r>
      <w:r>
        <w:rPr>
          <w:rFonts w:cs="Microsoft Uighur"/>
          <w:szCs w:val="28"/>
          <w:rtl/>
        </w:rPr>
        <w:t xml:space="preserve">ث عن حكمها  (٢٤)  الفقهي . ومهما يكن من أمر، فإن حسم هذا الجدل ونفي طرح هذه المسألة  الفقهية أو دعوى طرحها يحتاج إلى دليل لم يستن لي العثور عليه لا سلبا ولا  إيجابا. وما عثرت عليه هو مسائل تشبه القتل الرحيم من جهة من الجهات، وهي  قتل الميئوس من نجاته، ولو </w:t>
      </w:r>
      <w:r>
        <w:rPr>
          <w:rFonts w:cs="Microsoft Uighur"/>
          <w:szCs w:val="28"/>
          <w:rtl/>
        </w:rPr>
        <w:t>بدوافع غير رحيمة وأشير هنا إلى ثلاث مسائل محل  الشاهد فيها أن الفقهاء تعاملوا مع القتل فيها، كالقتل في غيرها من حالات قتل  العمد وحكموا فيها بالحرمة ولو بالسكوت الذي يدل في سياق كهذا على أن حرمة  القتل من المسلمات، وإن ناقشوا في بعضها في ثبوت القصاص أو الد</w:t>
      </w:r>
      <w:r>
        <w:rPr>
          <w:rFonts w:cs="Microsoft Uighur"/>
          <w:szCs w:val="28"/>
          <w:rtl/>
        </w:rPr>
        <w:t xml:space="preserve">ية، وهما  أمران لا نريد التعرض لهما في هذه الدراسة. وهذه المسائل الثلاث هي:  </w:t>
      </w:r>
    </w:p>
    <w:p w14:paraId="101C7EE3" w14:textId="77777777" w:rsidR="00A77B3E" w:rsidRDefault="00201914">
      <w:pPr>
        <w:bidi/>
        <w:spacing w:line="360" w:lineRule="auto"/>
        <w:jc w:val="lowKashida"/>
        <w:rPr>
          <w:rFonts w:cs="Microsoft Uighur"/>
          <w:szCs w:val="28"/>
          <w:rtl/>
        </w:rPr>
      </w:pPr>
      <w:r>
        <w:rPr>
          <w:rFonts w:cs="Microsoft Uighur"/>
          <w:szCs w:val="28"/>
          <w:rtl/>
        </w:rPr>
        <w:lastRenderedPageBreak/>
        <w:t>أولاً: قتل المشرف على الموت يضرب بعض الفقهاء أمثلة لتوضيح مفهوم  قتل العمد"، ومن هذه الأمثلة ما لو تعاقب اثنان على ضرب شخص واحد وبقيت  فيه بعد الضربة الأولى "حياة مستقرة (٢٥). وم</w:t>
      </w:r>
      <w:r>
        <w:rPr>
          <w:rFonts w:cs="Microsoft Uighur"/>
          <w:szCs w:val="28"/>
          <w:rtl/>
        </w:rPr>
        <w:t xml:space="preserve">ن هؤلاء الشيخ الطوسي إذ يقول:  ... فالأول جارح والثاني قاتل ... ولأن فيه حياة مستقرة عقيب جرح الأول... فإذا قتله  </w:t>
      </w:r>
    </w:p>
    <w:p w14:paraId="303C72C7" w14:textId="77777777" w:rsidR="00A77B3E" w:rsidRDefault="00201914">
      <w:pPr>
        <w:bidi/>
        <w:spacing w:line="360" w:lineRule="auto"/>
        <w:jc w:val="lowKashida"/>
        <w:rPr>
          <w:rFonts w:cs="Microsoft Uighur"/>
          <w:szCs w:val="28"/>
          <w:rtl/>
        </w:rPr>
      </w:pPr>
      <w:r>
        <w:rPr>
          <w:rFonts w:cs="Microsoft Uighur"/>
          <w:szCs w:val="28"/>
          <w:rtl/>
        </w:rPr>
        <w:t xml:space="preserve">٢٥١ </w:t>
      </w:r>
    </w:p>
    <w:p w14:paraId="1A0C0B7F"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5B21BA63" w14:textId="77777777" w:rsidR="00A77B3E" w:rsidRDefault="00201914">
      <w:pPr>
        <w:bidi/>
        <w:spacing w:line="360" w:lineRule="auto"/>
        <w:jc w:val="lowKashida"/>
        <w:rPr>
          <w:rFonts w:cs="Microsoft Uighur"/>
          <w:szCs w:val="28"/>
          <w:rtl/>
        </w:rPr>
      </w:pPr>
      <w:r>
        <w:rPr>
          <w:rFonts w:cs="Microsoft Uighur"/>
          <w:szCs w:val="28"/>
          <w:rtl/>
        </w:rPr>
        <w:t>الثاني فقد قتل من فيه حياة مستقرة فكان هو القاتل، كما لو قتل عليها قد أشرف  على الموت فيه وفيه حياة مستقرة ... (٢٦) والع</w:t>
      </w:r>
      <w:r>
        <w:rPr>
          <w:rFonts w:cs="Microsoft Uighur"/>
          <w:szCs w:val="28"/>
          <w:rtl/>
        </w:rPr>
        <w:t xml:space="preserve">بارة عينها تقريباً نجدها عند ابن قدامة  الذي يقول: "فلما كان حكم الحياة باقياً كان الثاني مفوتًا لها فكان هو القاتل، كما لو  قتل عليلا لا يرجى برء علته (٢٧).  (۲۷)  </w:t>
      </w:r>
    </w:p>
    <w:p w14:paraId="37F84B19" w14:textId="77777777" w:rsidR="00A77B3E" w:rsidRDefault="00201914">
      <w:pPr>
        <w:bidi/>
        <w:spacing w:line="360" w:lineRule="auto"/>
        <w:jc w:val="lowKashida"/>
        <w:rPr>
          <w:rFonts w:cs="Microsoft Uighur"/>
          <w:szCs w:val="28"/>
          <w:rtl/>
        </w:rPr>
      </w:pPr>
      <w:r>
        <w:rPr>
          <w:rFonts w:cs="Microsoft Uighur"/>
          <w:szCs w:val="28"/>
          <w:rtl/>
        </w:rPr>
        <w:t>ثانياً: وجوب بذل الطعام لمن يحتاجه ولو من دون ثمن ليست هذه  المسألة مطابقة لما نحن فيه ولك</w:t>
      </w:r>
      <w:r>
        <w:rPr>
          <w:rFonts w:cs="Microsoft Uighur"/>
          <w:szCs w:val="28"/>
          <w:rtl/>
        </w:rPr>
        <w:t>ن فيها ما يدل ولو بالملازمة على ما نحن بصدده؛  إذ يفتي عدد من الفقهاء بوجوب بذل الطعام للمشرف على الهلاك ويكره على  البذل لو امتنع، على الرغم من أن بعض الفقهاء أفتى بأنه لا يجبر عليه مجانا (٢٨).  والغرض من ذكر هذه الحالة هو الإشارة إلى أن الأسباب الاقتصادي</w:t>
      </w:r>
      <w:r>
        <w:rPr>
          <w:rFonts w:cs="Microsoft Uighur"/>
          <w:szCs w:val="28"/>
          <w:rtl/>
        </w:rPr>
        <w:t xml:space="preserve">ة التي ربما تذكر  لتبرير القتل الرحيم، لا يقبلها الفقه الإسلامي عموماً.  </w:t>
      </w:r>
    </w:p>
    <w:p w14:paraId="4B65BD79" w14:textId="77777777" w:rsidR="00A77B3E" w:rsidRDefault="00201914">
      <w:pPr>
        <w:bidi/>
        <w:spacing w:line="360" w:lineRule="auto"/>
        <w:jc w:val="lowKashida"/>
        <w:rPr>
          <w:rFonts w:cs="Microsoft Uighur"/>
          <w:szCs w:val="28"/>
          <w:rtl/>
        </w:rPr>
      </w:pPr>
      <w:r>
        <w:rPr>
          <w:rFonts w:cs="Microsoft Uighur"/>
          <w:szCs w:val="28"/>
          <w:rtl/>
        </w:rPr>
        <w:t>(۳۱)  (۳۰)  ثالثا: مسألة طلب القتل تعرض الفقهاء لمسألة عبر عنها بعضهم بقوله: "لو  قال له اقتلني فقلته". ولا يكاد يخلو كتاب فقهي اشتمل على أحكام القتل  والقصاص من التعرض لها. وهذه بعض</w:t>
      </w:r>
      <w:r>
        <w:rPr>
          <w:rFonts w:cs="Microsoft Uighur"/>
          <w:szCs w:val="28"/>
          <w:rtl/>
        </w:rPr>
        <w:t>ه عباراتهم في هذا المجال: "لو قال اقتلني  وإلا قتلتك، لم يسغ القتل؛ لأن الإذن لا يرفع الحرمة (٢٩). ويقول العلامة الحلي: "ولو  قال اقتلني وإلا قتلتك سقط القصاص والدية دون الإثم . وفي الفقه السني ما  يشبه ما هو مطروح في الفقه الإمامي ومن ذلك: .... لو قال: اق</w:t>
      </w:r>
      <w:r>
        <w:rPr>
          <w:rFonts w:cs="Microsoft Uighur"/>
          <w:szCs w:val="28"/>
          <w:rtl/>
        </w:rPr>
        <w:t xml:space="preserve">تلني وإلا قتلتك، فهذا  إذن منه في القتل وإكراه .... ويقول السرخسي في المبسوط: "ولو أمر رجلاً أن  يقطع إصبعه لوجع أصابه فيها، فقطعها فمات منها، لم يكن على القاطع شيء إلا  في رواية الحسن.... فإنه يقول بضمان الدين اعتبارا بما لو قال ذلك اقتلني  فقتله (۳۲) ثم </w:t>
      </w:r>
      <w:r>
        <w:rPr>
          <w:rFonts w:cs="Microsoft Uighur"/>
          <w:szCs w:val="28"/>
          <w:rtl/>
        </w:rPr>
        <w:t>يميز بين الأمرين بأنه ليس له الإذن بالقتل بينما يحق له ذلك في  الحالة الأولى. وعلى أي حال هذه المسألة وثيقة الصلة بما نحن بصدده؛ لأن البحث  فيها عن مشروعية القتل المأذون فيه، ومن يطلع على أقوال الفقهاء فيها يشعر بأن  عدم ارتفاع حرمة القتل بالإذن من المسلما</w:t>
      </w:r>
      <w:r>
        <w:rPr>
          <w:rFonts w:cs="Microsoft Uighur"/>
          <w:szCs w:val="28"/>
          <w:rtl/>
        </w:rPr>
        <w:t xml:space="preserve">ت. وسوف نعود إلى هذه النقطة  لاحقاً.  </w:t>
      </w:r>
    </w:p>
    <w:p w14:paraId="19229810" w14:textId="77777777" w:rsidR="00A77B3E" w:rsidRDefault="00201914">
      <w:pPr>
        <w:bidi/>
        <w:spacing w:line="360" w:lineRule="auto"/>
        <w:jc w:val="lowKashida"/>
        <w:rPr>
          <w:rFonts w:cs="Microsoft Uighur"/>
          <w:szCs w:val="28"/>
          <w:rtl/>
        </w:rPr>
      </w:pPr>
      <w:r>
        <w:rPr>
          <w:rFonts w:cs="Microsoft Uighur"/>
          <w:szCs w:val="28"/>
          <w:rtl/>
        </w:rPr>
        <w:t xml:space="preserve">٢٥٢  </w:t>
      </w:r>
    </w:p>
    <w:p w14:paraId="5F304DC4" w14:textId="77777777" w:rsidR="00A77B3E" w:rsidRDefault="00201914">
      <w:pPr>
        <w:bidi/>
        <w:spacing w:line="360" w:lineRule="auto"/>
        <w:jc w:val="lowKashida"/>
        <w:rPr>
          <w:rFonts w:cs="Microsoft Uighur"/>
          <w:szCs w:val="28"/>
          <w:rtl/>
        </w:rPr>
      </w:pPr>
      <w:r>
        <w:rPr>
          <w:rFonts w:cs="Microsoft Uighur"/>
          <w:szCs w:val="28"/>
          <w:rtl/>
        </w:rPr>
        <w:t xml:space="preserve">الفقه المقارن  </w:t>
      </w:r>
    </w:p>
    <w:p w14:paraId="5B243BA2" w14:textId="77777777" w:rsidR="00A77B3E" w:rsidRDefault="00201914">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1810911E"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4E9BE884" w14:textId="77777777" w:rsidR="00A77B3E" w:rsidRDefault="00201914">
      <w:pPr>
        <w:bidi/>
        <w:spacing w:line="360" w:lineRule="auto"/>
        <w:jc w:val="lowKashida"/>
        <w:rPr>
          <w:rFonts w:cs="Microsoft Uighur"/>
          <w:szCs w:val="28"/>
          <w:rtl/>
        </w:rPr>
      </w:pPr>
      <w:r>
        <w:rPr>
          <w:rFonts w:cs="Microsoft Uighur"/>
          <w:szCs w:val="28"/>
          <w:rtl/>
        </w:rPr>
        <w:t>ومع وضوح هذا المبدأ الإسلامي القرآني نرى أن فقهاء المسلمين اختلفوا في  حكم القتل الرحيم، فذهب بعضهم إلى</w:t>
      </w:r>
      <w:r>
        <w:rPr>
          <w:rFonts w:cs="Microsoft Uighur"/>
          <w:szCs w:val="28"/>
          <w:rtl/>
        </w:rPr>
        <w:t xml:space="preserve"> الحرمة عملاً بقاعدة التحريم المقررة في  الشريعة، ومال آخرون إلى الجواز مخرجين بعض الموارد عن عموم القاعدة  المذكورة أعلاه. وفي ما يأتي نستعرض وجهة نظر الطرفين مع الأدلة التي استندوا  إليها لتأكيد التحريم، أو للاستثناء والإخراج عن مقتضى عموم القاعدة.  </w:t>
      </w:r>
    </w:p>
    <w:p w14:paraId="4E33E7C5" w14:textId="77777777" w:rsidR="00A77B3E" w:rsidRDefault="00201914">
      <w:pPr>
        <w:bidi/>
        <w:spacing w:line="360" w:lineRule="auto"/>
        <w:jc w:val="lowKashida"/>
        <w:rPr>
          <w:rFonts w:cs="Microsoft Uighur"/>
          <w:szCs w:val="28"/>
          <w:rtl/>
        </w:rPr>
      </w:pPr>
      <w:r>
        <w:rPr>
          <w:rFonts w:cs="Microsoft Uighur"/>
          <w:szCs w:val="28"/>
          <w:rtl/>
        </w:rPr>
        <w:t>الد</w:t>
      </w:r>
      <w:r>
        <w:rPr>
          <w:rFonts w:cs="Microsoft Uighur"/>
          <w:szCs w:val="28"/>
          <w:rtl/>
        </w:rPr>
        <w:t xml:space="preserve">راسات السابقة:  </w:t>
      </w:r>
    </w:p>
    <w:p w14:paraId="384F45E9" w14:textId="77777777" w:rsidR="00A77B3E" w:rsidRDefault="00201914">
      <w:pPr>
        <w:bidi/>
        <w:spacing w:line="360" w:lineRule="auto"/>
        <w:jc w:val="lowKashida"/>
        <w:rPr>
          <w:rFonts w:cs="Microsoft Uighur"/>
          <w:szCs w:val="28"/>
          <w:rtl/>
        </w:rPr>
      </w:pPr>
      <w:r>
        <w:rPr>
          <w:rFonts w:cs="Microsoft Uighur"/>
          <w:szCs w:val="28"/>
          <w:rtl/>
        </w:rPr>
        <w:lastRenderedPageBreak/>
        <w:t xml:space="preserve">سوف أكتفي بعرض منهجي لدراستين عن الموضوع إحداهما من الفقه  الإمامي والأخرى من الفقه السني. ثم أدلف إلى تصوري للمنهجية الأفضل  للمعالجة.  </w:t>
      </w:r>
    </w:p>
    <w:p w14:paraId="5439D136" w14:textId="77777777" w:rsidR="00A77B3E" w:rsidRDefault="00201914">
      <w:pPr>
        <w:bidi/>
        <w:spacing w:line="360" w:lineRule="auto"/>
        <w:jc w:val="lowKashida"/>
        <w:rPr>
          <w:rFonts w:cs="Microsoft Uighur"/>
          <w:szCs w:val="28"/>
          <w:rtl/>
        </w:rPr>
      </w:pPr>
      <w:r>
        <w:rPr>
          <w:rFonts w:cs="Microsoft Uighur"/>
          <w:szCs w:val="28"/>
          <w:rtl/>
        </w:rPr>
        <w:t>دراسة الشيخ محمد علي الأنصاري يعالج الأنصاري في دراسته المعنونة  ب القتل الرحيم وموقف الشريعة منه (۳۳</w:t>
      </w:r>
      <w:r>
        <w:rPr>
          <w:rFonts w:cs="Microsoft Uighur"/>
          <w:szCs w:val="28"/>
          <w:rtl/>
        </w:rPr>
        <w:t>) هذه المسألة بتقسيمها إلى صور  ست على النحو الآتي: "...لأن القاتل إما يتحد مع المقتول أو يتعدد. وفي  صورة التعدد إما أن تكون للمقتول حياة مستقرة قبل القتل أولا. وإذا كانت  له حياة مستقرة فإما أن يكون بإذن المقتول أو لا. وفي جميع الحالات، إما  أن يكون المو</w:t>
      </w:r>
      <w:r>
        <w:rPr>
          <w:rFonts w:cs="Microsoft Uighur"/>
          <w:szCs w:val="28"/>
          <w:rtl/>
        </w:rPr>
        <w:t>ت بسبب فعل وجودي، أو بسبب عدم الفعل (٢٤). والصورة  الأولى هي صورة اتحاد القاتل والمقتول وسؤال الكاتب فيها هو: هل يجوز  للإنسان أن يقتل نفسه لأجل يأسه من الشفاء؟ ويجيب عنه بالنفي.  والصورة الثانية هي صورة التعدد والإذن واستقرار الحياة والقتل بالفعل  والسؤال</w:t>
      </w:r>
      <w:r>
        <w:rPr>
          <w:rFonts w:cs="Microsoft Uighur"/>
          <w:szCs w:val="28"/>
          <w:rtl/>
        </w:rPr>
        <w:t xml:space="preserve"> هو: هل يكفي إذن المريض للطبيب لرفع حرمة القتل؟ وجوابه  هو النفي والصورة الثالثة هي صورة التعدد واستقرار الحياة والقتل بالفعل  ولكن من دون إذن، والسؤال الذي يطرحه الكاتب هنا هو: هل ترتفع  الحرمة بكون الدافع هو الشفقة؟ ويجيب أيضاً بالنفي. والصورة الرابعة هي</w:t>
      </w:r>
      <w:r>
        <w:rPr>
          <w:rFonts w:cs="Microsoft Uighur"/>
          <w:szCs w:val="28"/>
          <w:rtl/>
        </w:rPr>
        <w:t xml:space="preserve">  التعدد مع استقرار الحياة ولكن كان القتل بترك الفعل. والسؤال هو هل  </w:t>
      </w:r>
    </w:p>
    <w:p w14:paraId="491BEF17" w14:textId="77777777" w:rsidR="00A77B3E" w:rsidRDefault="00201914">
      <w:pPr>
        <w:bidi/>
        <w:spacing w:line="360" w:lineRule="auto"/>
        <w:jc w:val="lowKashida"/>
        <w:rPr>
          <w:rFonts w:cs="Microsoft Uighur"/>
          <w:szCs w:val="28"/>
          <w:rtl/>
        </w:rPr>
      </w:pPr>
      <w:r>
        <w:rPr>
          <w:rFonts w:cs="Microsoft Uighur"/>
          <w:szCs w:val="28"/>
          <w:rtl/>
        </w:rPr>
        <w:t xml:space="preserve">٢٥٣ </w:t>
      </w:r>
    </w:p>
    <w:p w14:paraId="4FB02377"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334D6B77" w14:textId="77777777" w:rsidR="00A77B3E" w:rsidRDefault="00201914">
      <w:pPr>
        <w:bidi/>
        <w:spacing w:line="360" w:lineRule="auto"/>
        <w:jc w:val="lowKashida"/>
        <w:rPr>
          <w:rFonts w:cs="Microsoft Uighur"/>
          <w:szCs w:val="28"/>
          <w:rtl/>
        </w:rPr>
      </w:pPr>
      <w:r>
        <w:rPr>
          <w:rFonts w:cs="Microsoft Uighur"/>
          <w:szCs w:val="28"/>
          <w:rtl/>
        </w:rPr>
        <w:t>يجوز للطبيب أو غيره الامتناع عن العلاج بدافع الشفقة على المريض؟  ويرى أن الأصح إدراج هذا السؤال تحت عنوان "وجوب إنقاذ النفس  المحترمة وليس تحت عنوان "حرمة القتل" لأن</w:t>
      </w:r>
      <w:r>
        <w:rPr>
          <w:rFonts w:cs="Microsoft Uighur"/>
          <w:szCs w:val="28"/>
          <w:rtl/>
        </w:rPr>
        <w:t xml:space="preserve"> الطبيب لم يقتل بل  ترك الإنقاذ. ويرى أن الإنقاذ واجب والصورة الخامسة هي التعدد مع  عدم استقرار الحياة والقتل بفعل وجودي ويظهر من المثال الذي يذكره  أنه يعد نزع أجهزة الإنعاش فعلا وجوديا، كما أنه يرى أن الحكم هو  الحرمة والصورة السادسة والأخيرة هي الصورة ا</w:t>
      </w:r>
      <w:r>
        <w:rPr>
          <w:rFonts w:cs="Microsoft Uighur"/>
          <w:szCs w:val="28"/>
          <w:rtl/>
        </w:rPr>
        <w:t>لخامسة بعينها ولكن  مع استناد الموت إلى ترك الفعل كعدم إعطاء العقاقير المساعدة على  تطويل الحياة مدة من الزمان مهما كانت قصيرة ويظهر منه في هذه  الحالة التوقف والاستشكال في المسألة لعدم وضوح اندراجها تحت  وجوب الإنقاذ فيما لو كان المريض مشرفًا على الموت. و</w:t>
      </w:r>
      <w:r>
        <w:rPr>
          <w:rFonts w:cs="Microsoft Uighur"/>
          <w:szCs w:val="28"/>
          <w:rtl/>
        </w:rPr>
        <w:t xml:space="preserve">بعد أن يظهر  التردد في في صدق ترك الإنقاذ وعدمه يقول: "والمسألة مشكلة  وبحاجة إلى تأمل أكثر ".  </w:t>
      </w:r>
    </w:p>
    <w:p w14:paraId="3C2088E6" w14:textId="77777777" w:rsidR="00A77B3E" w:rsidRDefault="00201914">
      <w:pPr>
        <w:bidi/>
        <w:spacing w:line="360" w:lineRule="auto"/>
        <w:jc w:val="lowKashida"/>
        <w:rPr>
          <w:rFonts w:cs="Microsoft Uighur"/>
          <w:szCs w:val="28"/>
          <w:rtl/>
        </w:rPr>
      </w:pPr>
      <w:r>
        <w:rPr>
          <w:rFonts w:cs="Microsoft Uighur"/>
          <w:szCs w:val="28"/>
          <w:rtl/>
        </w:rPr>
        <w:t xml:space="preserve">وجهة نظر أخرى ويتصدى عدد من الباحثين لهذه المسألة بطريقة أخرى  تنطلق من تحريم كل أشكال الإقدام الإيجابي على القتل سواء كان ذلك  من الطبيب المعالج أم من المريض </w:t>
      </w:r>
      <w:r>
        <w:rPr>
          <w:rFonts w:cs="Microsoft Uighur"/>
          <w:szCs w:val="28"/>
          <w:rtl/>
        </w:rPr>
        <w:t>نفسه. ويستدل الذين يعتمدون هذه  المنهجية في المعالجة بالأدلة العامة التي تحرم القتل وتنهى عنه سواء كان  قتلا للغير أم قتلا للنفس (انتحارا)؛ ولكنهم في الوقت عينه ييممون شطر  زاوية أخرى من البحث وهي البحث في وجوب العلاج، والبحث في  حقيقة الموت ليبنى عليها جو</w:t>
      </w:r>
      <w:r>
        <w:rPr>
          <w:rFonts w:cs="Microsoft Uighur"/>
          <w:szCs w:val="28"/>
          <w:rtl/>
        </w:rPr>
        <w:t xml:space="preserve">از نزع أجهزة الإنعاش بناء على أن بعض  الحالات التي توضع فيها هذه الأجهزة يكون المريض فيها قد فارق الحياة.  ويستشهد عدد من هؤلاء الباحثين بفتوى صدرت عن هذا المجمع الفقهي  أو ذاك سلباً أم إيجاباً (٣٥).  </w:t>
      </w:r>
    </w:p>
    <w:p w14:paraId="4730C322" w14:textId="77777777" w:rsidR="00A77B3E" w:rsidRDefault="00201914">
      <w:pPr>
        <w:bidi/>
        <w:spacing w:line="360" w:lineRule="auto"/>
        <w:jc w:val="lowKashida"/>
        <w:rPr>
          <w:rFonts w:cs="Microsoft Uighur"/>
          <w:szCs w:val="28"/>
          <w:rtl/>
        </w:rPr>
      </w:pPr>
      <w:r>
        <w:rPr>
          <w:rFonts w:cs="Microsoft Uighur"/>
          <w:szCs w:val="28"/>
          <w:rtl/>
        </w:rPr>
        <w:t>الفقه المقارن - العددان (٥٤) السنة الثانية ٫ ربيع - صي</w:t>
      </w:r>
      <w:r>
        <w:rPr>
          <w:rFonts w:cs="Microsoft Uighur"/>
          <w:szCs w:val="28"/>
          <w:rtl/>
        </w:rPr>
        <w:t xml:space="preserve">ف ٢٠١٤  </w:t>
      </w:r>
    </w:p>
    <w:p w14:paraId="34BAD88D" w14:textId="77777777" w:rsidR="00A77B3E" w:rsidRDefault="00201914">
      <w:pPr>
        <w:bidi/>
        <w:spacing w:line="360" w:lineRule="auto"/>
        <w:jc w:val="lowKashida"/>
        <w:rPr>
          <w:rFonts w:cs="Microsoft Uighur"/>
          <w:szCs w:val="28"/>
          <w:rtl/>
        </w:rPr>
      </w:pPr>
      <w:r>
        <w:rPr>
          <w:rFonts w:cs="Microsoft Uighur"/>
          <w:szCs w:val="28"/>
          <w:rtl/>
        </w:rPr>
        <w:t xml:space="preserve">٢٥٤ </w:t>
      </w:r>
    </w:p>
    <w:p w14:paraId="7F1273F5" w14:textId="77777777" w:rsidR="00A77B3E" w:rsidRDefault="00201914">
      <w:pPr>
        <w:bidi/>
        <w:spacing w:line="360" w:lineRule="auto"/>
        <w:jc w:val="lowKashida"/>
        <w:rPr>
          <w:rFonts w:cs="Microsoft Uighur"/>
          <w:szCs w:val="28"/>
          <w:rtl/>
        </w:rPr>
      </w:pPr>
      <w:r>
        <w:rPr>
          <w:rFonts w:cs="Microsoft Uighur"/>
          <w:szCs w:val="28"/>
          <w:rtl/>
        </w:rPr>
        <w:t xml:space="preserve">تفكيك البحث:  </w:t>
      </w:r>
    </w:p>
    <w:p w14:paraId="01F77CF0"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0E80AB47" w14:textId="77777777" w:rsidR="00A77B3E" w:rsidRDefault="00201914">
      <w:pPr>
        <w:bidi/>
        <w:spacing w:line="360" w:lineRule="auto"/>
        <w:jc w:val="lowKashida"/>
        <w:rPr>
          <w:rFonts w:cs="Microsoft Uighur"/>
          <w:szCs w:val="28"/>
          <w:rtl/>
        </w:rPr>
      </w:pPr>
      <w:r>
        <w:rPr>
          <w:rFonts w:cs="Microsoft Uighur"/>
          <w:szCs w:val="28"/>
          <w:rtl/>
        </w:rPr>
        <w:lastRenderedPageBreak/>
        <w:t>بعد وضوح أن الأصل في الإسلام هو تحريم القتل يبدو أن البحث ينبغي أن  ينصب على العناوين التي تدعو إلى البحث في موضوع القتل الرحيم، لنرى هل  شبة عنوان أو خاصية طرأت تقتضي الخروج عن مقتضى ا</w:t>
      </w:r>
      <w:r>
        <w:rPr>
          <w:rFonts w:cs="Microsoft Uighur"/>
          <w:szCs w:val="28"/>
          <w:rtl/>
        </w:rPr>
        <w:t>لأصل لتأكيد الأصل  ونفي الخصوصية أو للفتوى بالتحريم. وفي نظري أن البحث بهذه الطريقة هو  الأنسب منهجيا؛ وذلك أن افتراض صور ست للمسألة لا يستوعب جميع الحالات  كما أنه لا يعالج مكمن الإشكالية، وأهم العناصر التي تكشف عن حكم المسألة  التي نحن بصددها، وتغطي حالا</w:t>
      </w:r>
      <w:r>
        <w:rPr>
          <w:rFonts w:cs="Microsoft Uighur"/>
          <w:szCs w:val="28"/>
          <w:rtl/>
        </w:rPr>
        <w:t xml:space="preserve">ت القتل الرحيم بكل صورها، هي: حكم القتل  وتأثير الدافع إلى القتل في رفع الحرمة)، حكم الانتحار وتأثير الدافع إليه في رفع  الحرمة)، وجوب التداوي التطبيب (القتل السلبي)، وحقيقة الموت النفي كون  بعض الحالات قتلاً. وهذا ما سوف نعالجه في ما يأتي.  </w:t>
      </w:r>
    </w:p>
    <w:p w14:paraId="79377D16" w14:textId="77777777" w:rsidR="00A77B3E" w:rsidRDefault="00201914">
      <w:pPr>
        <w:bidi/>
        <w:spacing w:line="360" w:lineRule="auto"/>
        <w:jc w:val="lowKashida"/>
        <w:rPr>
          <w:rFonts w:cs="Microsoft Uighur"/>
          <w:szCs w:val="28"/>
          <w:rtl/>
        </w:rPr>
      </w:pPr>
      <w:r>
        <w:rPr>
          <w:rFonts w:cs="Microsoft Uighur"/>
          <w:szCs w:val="28"/>
          <w:rtl/>
        </w:rPr>
        <w:t xml:space="preserve">القتل بالإذن </w:t>
      </w:r>
      <w:r>
        <w:rPr>
          <w:rFonts w:cs="Microsoft Uighur"/>
          <w:szCs w:val="28"/>
          <w:rtl/>
        </w:rPr>
        <w:t xml:space="preserve">أو بدافع خير  </w:t>
      </w:r>
    </w:p>
    <w:p w14:paraId="60C6B1F9" w14:textId="77777777" w:rsidR="00A77B3E" w:rsidRDefault="00201914">
      <w:pPr>
        <w:bidi/>
        <w:spacing w:line="360" w:lineRule="auto"/>
        <w:jc w:val="lowKashida"/>
        <w:rPr>
          <w:rFonts w:cs="Microsoft Uighur"/>
          <w:szCs w:val="28"/>
          <w:rtl/>
        </w:rPr>
      </w:pPr>
      <w:r>
        <w:rPr>
          <w:rFonts w:cs="Microsoft Uighur"/>
          <w:szCs w:val="28"/>
          <w:rtl/>
        </w:rPr>
        <w:t>تقدم أن القتل في الإسلام محرم ومنهي عنه بحسب أدلة التشريع الإسلامي  كلها الأربعة على الأقل. وحفظ الحياة مقصد من المقاصد الخمسة التي يتفق الفقهاء  على مقصديتها وعلى سعي الشريعة للحفاظ عليها. ومن هنا نرى أن الشريعة قولاً  وعملاً بحسب سيرة النب</w:t>
      </w:r>
      <w:r>
        <w:rPr>
          <w:rFonts w:cs="Microsoft Uighur"/>
          <w:szCs w:val="28"/>
          <w:rtl/>
        </w:rPr>
        <w:t>ي (صلى الله عليه وآله) لا تأذن بالقتل إلا في حالات خاصة  و محددة، كحالة العقوبات والقصاص، وحتى في هذه الحالات نجد أن الشريعة  تبيح عقوبة الإعدام بطريقة تكشف عن أنها تبيح ما الأصل فيه الحظر. أنظر مثلاً إلى  قوله تعالى: ﴿وَلَكُمْ فِي القِصاصِ حَيَاةً يَا أُو</w:t>
      </w:r>
      <w:r>
        <w:rPr>
          <w:rFonts w:cs="Microsoft Uighur"/>
          <w:szCs w:val="28"/>
          <w:rtl/>
        </w:rPr>
        <w:t>لِي الأَلْبَابِ لَعَلَّكُمْ تَتَّقُونَ (٦). وأشعر  وأنا أقرأ هذه الآية من كتاب الله تعالى أنها تريد أن تقول ما شرعنا القصاص  وأبحناه إلا لأنه باب من أبواب الحفاظ على الحياة ووسيلة إليها. والأمر عينه يمكن  أن يستوحى من قوله تعالى: ﴿وَلَا تَقْتُلُواْ النَّفْ</w:t>
      </w:r>
      <w:r>
        <w:rPr>
          <w:rFonts w:cs="Microsoft Uighur"/>
          <w:szCs w:val="28"/>
          <w:rtl/>
        </w:rPr>
        <w:t xml:space="preserve">سَ الَّتِي حَرَّمَ اللَّهُ إِلَّا بِالحَقِّ وَمَن قُتِلَ  مَظْلُومًا فَقَدْ جَعَلْنَا لِوَلِيْهِ سُلْطَانًا فَلَا يُسْرِف فِي الْقَتْلِ إِنَّهُ كَانَ مَنْصُورًا. وهذه  </w:t>
      </w:r>
    </w:p>
    <w:p w14:paraId="41A67666" w14:textId="77777777" w:rsidR="00A77B3E" w:rsidRDefault="00201914">
      <w:pPr>
        <w:bidi/>
        <w:spacing w:line="360" w:lineRule="auto"/>
        <w:jc w:val="lowKashida"/>
        <w:rPr>
          <w:rFonts w:cs="Microsoft Uighur"/>
          <w:szCs w:val="28"/>
          <w:rtl/>
        </w:rPr>
      </w:pPr>
      <w:r>
        <w:rPr>
          <w:rFonts w:cs="Microsoft Uighur"/>
          <w:szCs w:val="28"/>
          <w:rtl/>
        </w:rPr>
        <w:t xml:space="preserve">٢٥٥ </w:t>
      </w:r>
    </w:p>
    <w:p w14:paraId="2A18F1D6"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1A025CDC" w14:textId="77777777" w:rsidR="00A77B3E" w:rsidRDefault="00201914">
      <w:pPr>
        <w:bidi/>
        <w:spacing w:line="360" w:lineRule="auto"/>
        <w:jc w:val="lowKashida"/>
        <w:rPr>
          <w:rFonts w:cs="Microsoft Uighur"/>
          <w:szCs w:val="28"/>
          <w:rtl/>
        </w:rPr>
      </w:pPr>
      <w:r>
        <w:rPr>
          <w:rFonts w:cs="Microsoft Uighur"/>
          <w:szCs w:val="28"/>
          <w:rtl/>
        </w:rPr>
        <w:t>الآية تدل على جواز الاقتصاص وتعطي لولي سلطنة عليه ولكنها في الوقت عينه  تشير إلى أمرين أولهما أن الأصل والقاعدة هي حرمة القتل ولا يخرج عن هذه  الحرمة إلا بحق، وثانيهما تحذيرها الواضح لصاحب الحق من الإسراف في استيفاء  حقه، ولا ننسى الإشارة إلى ترجيح العفو ع</w:t>
      </w:r>
      <w:r>
        <w:rPr>
          <w:rFonts w:cs="Microsoft Uighur"/>
          <w:szCs w:val="28"/>
          <w:rtl/>
        </w:rPr>
        <w:t xml:space="preserve">لى الاقتصاص في الشريعة.  </w:t>
      </w:r>
    </w:p>
    <w:p w14:paraId="67B12DA6" w14:textId="77777777" w:rsidR="00A77B3E" w:rsidRDefault="00201914">
      <w:pPr>
        <w:bidi/>
        <w:spacing w:line="360" w:lineRule="auto"/>
        <w:jc w:val="lowKashida"/>
        <w:rPr>
          <w:rFonts w:cs="Microsoft Uighur"/>
          <w:szCs w:val="28"/>
          <w:rtl/>
        </w:rPr>
      </w:pPr>
      <w:r>
        <w:rPr>
          <w:rFonts w:cs="Microsoft Uighur"/>
          <w:szCs w:val="28"/>
          <w:rtl/>
        </w:rPr>
        <w:t xml:space="preserve">والسؤال هنا هل يغير الدافع الخير حكم القتل ويرفعه؟ لا يبدو بحسب  مبادئ الفقه الإسلامي أن الدافع الخير يرفع قبح الجريمة؛ لأن السؤال نفسه يتكرر  في كل أمر حرمته الشريعة؛ إذ يتصور أن الفاعل قد يرتكبه لأغراض يرى أنها نبيلة.  </w:t>
      </w:r>
    </w:p>
    <w:p w14:paraId="13312F52" w14:textId="77777777" w:rsidR="00A77B3E" w:rsidRDefault="00201914">
      <w:pPr>
        <w:bidi/>
        <w:spacing w:line="360" w:lineRule="auto"/>
        <w:jc w:val="lowKashida"/>
        <w:rPr>
          <w:rFonts w:cs="Microsoft Uighur"/>
          <w:szCs w:val="28"/>
          <w:rtl/>
        </w:rPr>
      </w:pPr>
      <w:r>
        <w:rPr>
          <w:rFonts w:cs="Microsoft Uighur"/>
          <w:szCs w:val="28"/>
          <w:rtl/>
        </w:rPr>
        <w:t>فماذا عن</w:t>
      </w:r>
      <w:r>
        <w:rPr>
          <w:rFonts w:cs="Microsoft Uighur"/>
          <w:szCs w:val="28"/>
          <w:rtl/>
        </w:rPr>
        <w:t xml:space="preserve"> السرقة لإطعام الفقراء ؟ أو الغصب لبناء مسجد ؟ أو غصب الثوب من  أجل الصلاة؟ وما شابه من الحالات. وفي مثل هذه الحالات التي تدخل بشكل أو  بآخر في إطار البحث الأصولي المعروف اجتماع الأمر والنهي، يقدم النهي على  الأمر وفقاً لمبدا: "دفع المفسدة أولى من استجلاب </w:t>
      </w:r>
      <w:r>
        <w:rPr>
          <w:rFonts w:cs="Microsoft Uighur"/>
          <w:szCs w:val="28"/>
          <w:rtl/>
        </w:rPr>
        <w:t>المصلحة . نعم (٣٨): يناقش  بعض الفقهاء في حجم المفاسد التي تقدم على المصالح ويرى ضرورة الموازنة  بين المفاسد والمصالح وتقديم الأهم منها على المهم : .... فإن ذلك (ترجيح ترك  المفسدة على جلب المصلحة يستلزم أن يكون ارتكاب معصية صغيرة بفعل  المنهي عنه أشد من ت</w:t>
      </w:r>
      <w:r>
        <w:rPr>
          <w:rFonts w:cs="Microsoft Uighur"/>
          <w:szCs w:val="28"/>
          <w:rtl/>
        </w:rPr>
        <w:t xml:space="preserve">رك أعظم الواجبات......  (۳۸)  </w:t>
      </w:r>
    </w:p>
    <w:p w14:paraId="60F1137C" w14:textId="77777777" w:rsidR="00A77B3E" w:rsidRDefault="00201914">
      <w:pPr>
        <w:bidi/>
        <w:spacing w:line="360" w:lineRule="auto"/>
        <w:jc w:val="lowKashida"/>
        <w:rPr>
          <w:rFonts w:cs="Microsoft Uighur"/>
          <w:szCs w:val="28"/>
          <w:rtl/>
        </w:rPr>
      </w:pPr>
      <w:r>
        <w:rPr>
          <w:rFonts w:cs="Microsoft Uighur"/>
          <w:szCs w:val="28"/>
          <w:rtl/>
        </w:rPr>
        <w:t>هذا وفي علم الأصول الفقه الإسلامي بحث يسهم في توضيح الموقف  من مثل هذه الحالات، وهو بحث التجري. وذلك في حالة الإقدام على فعل  مباح مع اعتقاد الحرمة، فقد تساءل الأصوليون في هذه الحالة هل يأثم الفاعل،  على نيته وبالتالي يتحول ا</w:t>
      </w:r>
      <w:r>
        <w:rPr>
          <w:rFonts w:cs="Microsoft Uighur"/>
          <w:szCs w:val="28"/>
          <w:rtl/>
        </w:rPr>
        <w:t xml:space="preserve">لفعل المباح إلى محرم ويعاقب الفاعل </w:t>
      </w:r>
      <w:r>
        <w:rPr>
          <w:rFonts w:cs="Microsoft Uighur"/>
          <w:szCs w:val="28"/>
          <w:rtl/>
        </w:rPr>
        <w:lastRenderedPageBreak/>
        <w:t>على فعله. وقد  اختلف الأصوليون في استحقاق العقاب على التجري، فذهب بعضهم إلى  استحقاق العقاب، بحجة أن الفاعل في هذه الحالة يكون قد انتهك المولى عليه  بالطاعة والاحترام (٤٠). وذهب آخرون إلى أنه لا يستحق العقاب لأنه لم يخالف</w:t>
      </w:r>
      <w:r>
        <w:rPr>
          <w:rFonts w:cs="Microsoft Uighur"/>
          <w:szCs w:val="28"/>
          <w:rtl/>
        </w:rPr>
        <w:t xml:space="preserve">  الشريعة بحسب الواقع وإن خالفها بحسب اعتقاده الخاطئ، ولكن يظهر من  أكثرهم تصريحا أو تلميحاً أن الفعل لا يتحول عما هو عليه في الواقع بحسب  </w:t>
      </w:r>
    </w:p>
    <w:p w14:paraId="1B856CD1" w14:textId="77777777" w:rsidR="00A77B3E" w:rsidRDefault="0020191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68AC4F90" w14:textId="77777777" w:rsidR="00A77B3E" w:rsidRDefault="00201914">
      <w:pPr>
        <w:bidi/>
        <w:spacing w:line="360" w:lineRule="auto"/>
        <w:jc w:val="lowKashida"/>
        <w:rPr>
          <w:rFonts w:cs="Microsoft Uighur"/>
          <w:szCs w:val="28"/>
          <w:rtl/>
        </w:rPr>
      </w:pPr>
      <w:r>
        <w:rPr>
          <w:rFonts w:cs="Microsoft Uighur"/>
          <w:szCs w:val="28"/>
          <w:rtl/>
        </w:rPr>
        <w:t xml:space="preserve">٢٥٦ </w:t>
      </w:r>
    </w:p>
    <w:p w14:paraId="357525A6"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6A321F14" w14:textId="77777777" w:rsidR="00A77B3E" w:rsidRDefault="00201914">
      <w:pPr>
        <w:bidi/>
        <w:spacing w:line="360" w:lineRule="auto"/>
        <w:jc w:val="lowKashida"/>
        <w:rPr>
          <w:rFonts w:cs="Microsoft Uighur"/>
          <w:szCs w:val="28"/>
          <w:rtl/>
        </w:rPr>
      </w:pPr>
      <w:r>
        <w:rPr>
          <w:rFonts w:cs="Microsoft Uighur"/>
          <w:szCs w:val="28"/>
          <w:rtl/>
        </w:rPr>
        <w:t>اعتقا</w:t>
      </w:r>
      <w:r>
        <w:rPr>
          <w:rFonts w:cs="Microsoft Uighur"/>
          <w:szCs w:val="28"/>
          <w:rtl/>
        </w:rPr>
        <w:t xml:space="preserve">د الفاعل أو نيته؛ ويعبر أحدهم عن هذا المعنى بقوله : "... فإن المذمة على  المنكشف وهو سوء سريرة الفاعل) لا الكاشف. ومن هنا يظهر الجواب عن  قبح التجري، فإنه لكشف ما تجرى به عن خبث الفاعل، لا عن كون الفعل  مبغوضاً للمولى (٤١)، والربط بين ما نحن فيه وبين مبحث </w:t>
      </w:r>
      <w:r>
        <w:rPr>
          <w:rFonts w:cs="Microsoft Uighur"/>
          <w:szCs w:val="28"/>
          <w:rtl/>
        </w:rPr>
        <w:t xml:space="preserve">التجري هو أنه يظهر  من الفقهاء والأصوليين عدم تبديل النية والدافع لحكم الواقع، ونطبق هذا على  محل الكلام فنقول إذا كان القتل مبغوضاً للشريعة ولا تريد تحققه من المكلف  فلا فرق بالنسبة إليها بين قاتل يقدم على القتل بدافع سيء، وآخر يقدم على  القتل لتقديره أن </w:t>
      </w:r>
      <w:r>
        <w:rPr>
          <w:rFonts w:cs="Microsoft Uighur"/>
          <w:szCs w:val="28"/>
          <w:rtl/>
        </w:rPr>
        <w:t xml:space="preserve">فيه مصلحة للمقتول.  </w:t>
      </w:r>
    </w:p>
    <w:p w14:paraId="1FDF30F0" w14:textId="77777777" w:rsidR="00A77B3E" w:rsidRDefault="00201914">
      <w:pPr>
        <w:bidi/>
        <w:spacing w:line="360" w:lineRule="auto"/>
        <w:jc w:val="lowKashida"/>
        <w:rPr>
          <w:rFonts w:cs="Microsoft Uighur"/>
          <w:szCs w:val="28"/>
          <w:rtl/>
        </w:rPr>
      </w:pPr>
      <w:r>
        <w:rPr>
          <w:rFonts w:cs="Microsoft Uighur"/>
          <w:szCs w:val="28"/>
          <w:rtl/>
        </w:rPr>
        <w:t xml:space="preserve">هذا كله عن القتل من دون إذن وأما القتل بناء على طلب من المقتول، فيقال  فيه إن تحريم القتل ليس من باب أن الحياة حق للإنسان لا يجوز انتهاكه فحسب  حتى يحكم بسقوط هذا الحق إذا أسقطه المكلف. وبعبارة أخرى ثمة فرق بين حق  الملكية أو الاختصاص </w:t>
      </w:r>
      <w:r>
        <w:rPr>
          <w:rFonts w:cs="Microsoft Uighur"/>
          <w:szCs w:val="28"/>
          <w:rtl/>
        </w:rPr>
        <w:t xml:space="preserve">بالمجلس، وما شابه وبين الحق في الحياة فالأول يسقط إذا  أسقطه المكلف وتنازل عنه بخلاف الثاني الذي هو وإن كان حقا من دون شك  ولكن فيه شائبة الحكم وأحكام الشريعة سلطة التشريع فيها غير خاضعة لإرادة  الإنسان حتى لو كان هذا الإنسان هو المستفيد من هذا الحكم.  </w:t>
      </w:r>
    </w:p>
    <w:p w14:paraId="50652587" w14:textId="77777777" w:rsidR="00A77B3E" w:rsidRDefault="00201914">
      <w:pPr>
        <w:bidi/>
        <w:spacing w:line="360" w:lineRule="auto"/>
        <w:jc w:val="lowKashida"/>
        <w:rPr>
          <w:rFonts w:cs="Microsoft Uighur"/>
          <w:szCs w:val="28"/>
          <w:rtl/>
        </w:rPr>
      </w:pPr>
      <w:r>
        <w:rPr>
          <w:rFonts w:cs="Microsoft Uighur"/>
          <w:szCs w:val="28"/>
          <w:rtl/>
        </w:rPr>
        <w:t>وقد عولجت هذه القضية أو ما يشبهها في الفقه الإسلامي في البحث في  مفهوم الحق، وهناك قسم الفقهاء الحقوق إلى حقوق محضة ترك أمرها إلى  صاحبها فهي تقبل الإسقاط وأمثلتها كثيرة مثل: حق الشفعة، وحق الفسخ في  خيارات البيع وغيره. وإلى حقوق لا تقبل الإسقاط لأنها أشبه</w:t>
      </w:r>
      <w:r>
        <w:rPr>
          <w:rFonts w:cs="Microsoft Uighur"/>
          <w:szCs w:val="28"/>
          <w:rtl/>
        </w:rPr>
        <w:t xml:space="preserve"> إلى الأحكام ومثلوا  لها بالرجوع في الطلاق الرجعي، فهو وإن كان حقا للزوج يستطيع أن يستوفيه أو لا  يستوفيه ولكنه لا يقدر على إسقاطه. هذا وقد اعترض بعض الفقهاء على التعبير  عن مثل هذه الأمور بالحق ورأى ضرورة التمييز بين الحق الذي يقتضى الإسقاط  بحسب مفهومه، </w:t>
      </w:r>
      <w:r>
        <w:rPr>
          <w:rFonts w:cs="Microsoft Uighur"/>
          <w:szCs w:val="28"/>
          <w:rtl/>
        </w:rPr>
        <w:t xml:space="preserve">وبين الحكم الذي لا يقبل الإسقاط لأن أمره بيد الحاكم صاحب  </w:t>
      </w:r>
    </w:p>
    <w:p w14:paraId="535D8AAD" w14:textId="77777777" w:rsidR="00A77B3E" w:rsidRDefault="00201914">
      <w:pPr>
        <w:bidi/>
        <w:spacing w:line="360" w:lineRule="auto"/>
        <w:jc w:val="lowKashida"/>
        <w:rPr>
          <w:rFonts w:cs="Microsoft Uighur"/>
          <w:szCs w:val="28"/>
          <w:rtl/>
        </w:rPr>
      </w:pPr>
      <w:r>
        <w:rPr>
          <w:rFonts w:cs="Microsoft Uighur"/>
          <w:szCs w:val="28"/>
          <w:rtl/>
        </w:rPr>
        <w:t xml:space="preserve">٢٥٧ </w:t>
      </w:r>
    </w:p>
    <w:p w14:paraId="469DF87F"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3552FE53" w14:textId="77777777" w:rsidR="00A77B3E" w:rsidRDefault="00201914">
      <w:pPr>
        <w:bidi/>
        <w:spacing w:line="360" w:lineRule="auto"/>
        <w:jc w:val="lowKashida"/>
        <w:rPr>
          <w:rFonts w:cs="Microsoft Uighur"/>
          <w:szCs w:val="28"/>
          <w:rtl/>
        </w:rPr>
      </w:pPr>
      <w:r>
        <w:rPr>
          <w:rFonts w:cs="Microsoft Uighur"/>
          <w:szCs w:val="28"/>
          <w:rtl/>
        </w:rPr>
        <w:t xml:space="preserve">السلطة على تشريعه، وبعبارة أخرى يقتضي وصف شيء بأنه حق قابليته  للإسقاط (٤٢).  </w:t>
      </w:r>
    </w:p>
    <w:p w14:paraId="4BF375FE" w14:textId="77777777" w:rsidR="00A77B3E" w:rsidRDefault="00201914">
      <w:pPr>
        <w:bidi/>
        <w:spacing w:line="360" w:lineRule="auto"/>
        <w:jc w:val="lowKashida"/>
        <w:rPr>
          <w:rFonts w:cs="Microsoft Uighur"/>
          <w:szCs w:val="28"/>
          <w:rtl/>
        </w:rPr>
      </w:pPr>
      <w:r>
        <w:rPr>
          <w:rFonts w:cs="Microsoft Uighur"/>
          <w:szCs w:val="28"/>
          <w:rtl/>
        </w:rPr>
        <w:t xml:space="preserve">حكم الانتحار  </w:t>
      </w:r>
    </w:p>
    <w:p w14:paraId="560261D2" w14:textId="77777777" w:rsidR="00A77B3E" w:rsidRDefault="00201914">
      <w:pPr>
        <w:bidi/>
        <w:spacing w:line="360" w:lineRule="auto"/>
        <w:jc w:val="lowKashida"/>
        <w:rPr>
          <w:rFonts w:cs="Microsoft Uighur"/>
          <w:szCs w:val="28"/>
          <w:rtl/>
        </w:rPr>
      </w:pPr>
      <w:r>
        <w:rPr>
          <w:rFonts w:cs="Microsoft Uighur"/>
          <w:szCs w:val="28"/>
          <w:rtl/>
        </w:rPr>
        <w:t>الانتحار من المحرمات التي أكدت الشريعة حرمتها. ولا نطيل بذكر الأدلة  التي يذكرها ا</w:t>
      </w:r>
      <w:r>
        <w:rPr>
          <w:rFonts w:cs="Microsoft Uighur"/>
          <w:szCs w:val="28"/>
          <w:rtl/>
        </w:rPr>
        <w:t>لفقهاء لإثبات حرمة الانتحار ويكفي لمعرفة موقف الإسلام من  الانتحار، أن تمني الموت من الأمور المنهي عنها في عدد من الروايات الواردة عن  النبي (صلى الله عليه وآله)، ومن ذلك قوله: «لا تتمن الموت، فإنك إن تك  محسناً تزداد وإن تك مسينا فتؤخر تستتيب فلا تتمنوا ا</w:t>
      </w:r>
      <w:r>
        <w:rPr>
          <w:rFonts w:cs="Microsoft Uighur"/>
          <w:szCs w:val="28"/>
          <w:rtl/>
        </w:rPr>
        <w:t xml:space="preserve">لموت» (٤٣) ولهذا  الحديث دلالة واضحة على أنه إذا كان تمني الموت منهيا عنه فما بالك بفعله.  ولأجل وضوح الحرمة اشتهر بين كثير من عامة الناس أن المنتحر يخرج من  الإسلام ولا يدفن في مقابر </w:t>
      </w:r>
      <w:r>
        <w:rPr>
          <w:rFonts w:cs="Microsoft Uighur"/>
          <w:szCs w:val="28"/>
          <w:rtl/>
        </w:rPr>
        <w:lastRenderedPageBreak/>
        <w:t>المسلمين وعلى أي حال ما يستحق البحث هنـا هـو  هل يمكن تبرير الانتحار شرع</w:t>
      </w:r>
      <w:r>
        <w:rPr>
          <w:rFonts w:cs="Microsoft Uighur"/>
          <w:szCs w:val="28"/>
          <w:rtl/>
        </w:rPr>
        <w:t>ًا تحت ضغط الإحساس بالألم واليأس من إمكان  الشفاء، مع ملاحظة أن البحث هو في الانتحار بالإقدام على تناول دواء أو فعل ما  يؤدي إلى الموت. وهذه واحدة من الحالات التي تندرج في محل بحثنا. يبدو من  مراجعة عدد من الدراسات والأبحاث أن أكثر من عالج هذه المسألة فقهي</w:t>
      </w:r>
      <w:r>
        <w:rPr>
          <w:rFonts w:cs="Microsoft Uighur"/>
          <w:szCs w:val="28"/>
          <w:rtl/>
        </w:rPr>
        <w:t>ا حكم  بالحرمة ولم يجز الانتحار الإيجابي (بالفعل) (٤) وفي التراث الإسلامي مثال يُذكر  عن قتل أحد جرحى المسلمين نفسه فعلق النبي (صلى الله عليه وآله) على ذلك  بقوله: "إنه من أهل النار (٤٥). وأود أن أختم الحديث عن هذه النقطة بسؤال لا  أقصد منه الإلفات إلى جوا</w:t>
      </w:r>
      <w:r>
        <w:rPr>
          <w:rFonts w:cs="Microsoft Uighur"/>
          <w:szCs w:val="28"/>
          <w:rtl/>
        </w:rPr>
        <w:t xml:space="preserve">ز الانتحار بل إلى ضرورة متابعة البحث طلبا للمزيد من  الوضوح، والسؤال هو: إذا بلغ الألم حدا لا تكفي معه المسكنات وكان تحمله  محرجاً ثقيلاً على المريض فهل ترتفع حرمة الانتحار للضرورة كما في سائر  المحرمات التي تباح لأجل الضرورة؟  </w:t>
      </w:r>
    </w:p>
    <w:p w14:paraId="346F993F" w14:textId="77777777" w:rsidR="00A77B3E" w:rsidRDefault="00201914">
      <w:pPr>
        <w:bidi/>
        <w:spacing w:line="360" w:lineRule="auto"/>
        <w:jc w:val="lowKashida"/>
        <w:rPr>
          <w:rFonts w:cs="Microsoft Uighur"/>
          <w:szCs w:val="28"/>
          <w:rtl/>
        </w:rPr>
      </w:pPr>
      <w:r>
        <w:rPr>
          <w:rFonts w:cs="Microsoft Uighur"/>
          <w:szCs w:val="28"/>
          <w:rtl/>
        </w:rPr>
        <w:t>حكم التداوي والمداواة من ال</w:t>
      </w:r>
      <w:r>
        <w:rPr>
          <w:rFonts w:cs="Microsoft Uighur"/>
          <w:szCs w:val="28"/>
          <w:rtl/>
        </w:rPr>
        <w:t xml:space="preserve">مسائل المطروحة في الفقه الإسلامي مسألة  وجوب التداوي. فهل يجب على الإنسان أن يعالج نفسه إذا مرض؟ وهل يجب  </w:t>
      </w:r>
    </w:p>
    <w:p w14:paraId="3856C534" w14:textId="77777777" w:rsidR="00A77B3E" w:rsidRDefault="00201914">
      <w:pPr>
        <w:bidi/>
        <w:spacing w:line="360" w:lineRule="auto"/>
        <w:jc w:val="lowKashida"/>
        <w:rPr>
          <w:rFonts w:cs="Microsoft Uighur"/>
          <w:szCs w:val="28"/>
          <w:rtl/>
        </w:rPr>
      </w:pPr>
      <w:r>
        <w:rPr>
          <w:rFonts w:cs="Microsoft Uighur"/>
          <w:szCs w:val="28"/>
          <w:rtl/>
        </w:rPr>
        <w:t xml:space="preserve">٢٥٨  </w:t>
      </w:r>
    </w:p>
    <w:p w14:paraId="73D82205" w14:textId="77777777" w:rsidR="00A77B3E" w:rsidRDefault="00201914">
      <w:pPr>
        <w:bidi/>
        <w:spacing w:line="360" w:lineRule="auto"/>
        <w:jc w:val="lowKashida"/>
        <w:rPr>
          <w:rFonts w:cs="Microsoft Uighur"/>
          <w:szCs w:val="28"/>
          <w:rtl/>
        </w:rPr>
      </w:pPr>
      <w:r>
        <w:rPr>
          <w:rFonts w:cs="Microsoft Uighur"/>
          <w:szCs w:val="28"/>
          <w:rtl/>
        </w:rPr>
        <w:t xml:space="preserve">الفقه المقارن - العددان (٥٠٤) السنة الثانية ٫ ربيع - صيف ٢٠١٤ </w:t>
      </w:r>
    </w:p>
    <w:p w14:paraId="459E1A9E"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5D700287" w14:textId="77777777" w:rsidR="00A77B3E" w:rsidRDefault="00201914">
      <w:pPr>
        <w:bidi/>
        <w:spacing w:line="360" w:lineRule="auto"/>
        <w:jc w:val="lowKashida"/>
        <w:rPr>
          <w:rFonts w:cs="Microsoft Uighur"/>
          <w:szCs w:val="28"/>
          <w:rtl/>
        </w:rPr>
      </w:pPr>
      <w:r>
        <w:rPr>
          <w:rFonts w:cs="Microsoft Uighur"/>
          <w:szCs w:val="28"/>
          <w:rtl/>
        </w:rPr>
        <w:t xml:space="preserve">على الطبيب أن يعالجه إذا طلب منه ذلك؟ </w:t>
      </w:r>
      <w:r>
        <w:rPr>
          <w:rFonts w:cs="Microsoft Uighur"/>
          <w:szCs w:val="28"/>
          <w:rtl/>
        </w:rPr>
        <w:t xml:space="preserve">وفي هذه المسألة الكثير من التفاصيل  التي تستحق البحث والنقاش، لذلك سوف أكتفي بذكر رأيين مع أهم أدلتهما.  </w:t>
      </w:r>
    </w:p>
    <w:p w14:paraId="2D1DDACC" w14:textId="77777777" w:rsidR="00A77B3E" w:rsidRDefault="00201914">
      <w:pPr>
        <w:bidi/>
        <w:spacing w:line="360" w:lineRule="auto"/>
        <w:jc w:val="lowKashida"/>
        <w:rPr>
          <w:rFonts w:cs="Microsoft Uighur"/>
          <w:szCs w:val="28"/>
          <w:rtl/>
        </w:rPr>
      </w:pPr>
      <w:r>
        <w:rPr>
          <w:rFonts w:cs="Microsoft Uighur"/>
          <w:szCs w:val="28"/>
          <w:rtl/>
        </w:rPr>
        <w:t xml:space="preserve">(٤٧)  وجوب التداوي والمداواة يرى عدد من فقهاء الإمامية (١٦) وغيرهم "  </w:t>
      </w:r>
    </w:p>
    <w:p w14:paraId="6D5F9135" w14:textId="77777777" w:rsidR="00A77B3E" w:rsidRDefault="00201914">
      <w:pPr>
        <w:bidi/>
        <w:spacing w:line="360" w:lineRule="auto"/>
        <w:jc w:val="lowKashida"/>
        <w:rPr>
          <w:rFonts w:cs="Microsoft Uighur"/>
          <w:szCs w:val="28"/>
          <w:rtl/>
        </w:rPr>
      </w:pPr>
      <w:r>
        <w:rPr>
          <w:rFonts w:cs="Microsoft Uighur"/>
          <w:szCs w:val="28"/>
          <w:rtl/>
        </w:rPr>
        <w:t>وجوب التداوي، ويستدل بعضهم بالأدلة الدالة على حرمة إلقاء النفس في  التهلكة (٤٨)</w:t>
      </w:r>
      <w:r>
        <w:rPr>
          <w:rFonts w:cs="Microsoft Uighur"/>
          <w:szCs w:val="28"/>
          <w:rtl/>
        </w:rPr>
        <w:t>، وحرمة الإضرار بها وتعريضها للخطر. ويرى هؤلاء أن وجوب التداوي  ينقسم إلى قسمين وجوب فردي خاص وهو معالجة المرء نفسه، وآخر عام يتوجه  إلى المجتمع المهدد بالخطر ويحدده ولي الأمر الذي يجب عليه أن يصدر الأمر  بالعلاج أو الوقاية لمنع انتشار الوباء (٤٩). ولكن ما</w:t>
      </w:r>
      <w:r>
        <w:rPr>
          <w:rFonts w:cs="Microsoft Uighur"/>
          <w:szCs w:val="28"/>
          <w:rtl/>
        </w:rPr>
        <w:t xml:space="preserve">ذا لو حصل اليأس من الشفاء فهل  يجوز ترك التداوي من قبل الطبيب أو المريض أو أوليائه؟ يطرح الشيخ حسن  الجواهري ثلاثة أسئلة وأمثلة عليها ويجيب بالتمييز بين ثلاث حالات هي:  </w:t>
      </w:r>
    </w:p>
    <w:p w14:paraId="06529AF0" w14:textId="77777777" w:rsidR="00A77B3E" w:rsidRDefault="00201914">
      <w:pPr>
        <w:bidi/>
        <w:spacing w:line="360" w:lineRule="auto"/>
        <w:jc w:val="lowKashida"/>
        <w:rPr>
          <w:rFonts w:cs="Microsoft Uighur"/>
          <w:szCs w:val="28"/>
          <w:rtl/>
        </w:rPr>
      </w:pPr>
      <w:r>
        <w:rPr>
          <w:rFonts w:cs="Microsoft Uighur"/>
          <w:szCs w:val="28"/>
          <w:rtl/>
        </w:rPr>
        <w:t>ا ترك علاجه وهو على قيد الحياة بحجة اليأس من الشفاء، وهذه الصورة  ينطبق عليها عنوان ال</w:t>
      </w:r>
      <w:r>
        <w:rPr>
          <w:rFonts w:cs="Microsoft Uighur"/>
          <w:szCs w:val="28"/>
          <w:rtl/>
        </w:rPr>
        <w:t xml:space="preserve">تفريط في حياة المريض وهو محرم.  </w:t>
      </w:r>
    </w:p>
    <w:p w14:paraId="2A0EA641" w14:textId="77777777" w:rsidR="00A77B3E" w:rsidRDefault="00201914">
      <w:pPr>
        <w:bidi/>
        <w:spacing w:line="360" w:lineRule="auto"/>
        <w:jc w:val="lowKashida"/>
        <w:rPr>
          <w:rFonts w:cs="Microsoft Uighur"/>
          <w:szCs w:val="28"/>
          <w:rtl/>
        </w:rPr>
      </w:pPr>
      <w:r>
        <w:rPr>
          <w:rFonts w:cs="Microsoft Uighur"/>
          <w:szCs w:val="28"/>
          <w:rtl/>
        </w:rPr>
        <w:t>ترك الإسعاف بعد توقف القلب عن الحركة بحجة اليأس من عودته إلى  الخفقان، وهذه لا ينطبق عليها الإعانة على القتل أو القتل؛ لأن المفروض  عدم صدور فعل من المحيطين بالمريض، وهي جائزة في ما إذا حصلت  بعد تشخيص الأطباء اليأس من عودة</w:t>
      </w:r>
      <w:r>
        <w:rPr>
          <w:rFonts w:cs="Microsoft Uighur"/>
          <w:szCs w:val="28"/>
          <w:rtl/>
        </w:rPr>
        <w:t xml:space="preserve"> المريض إلى الحياة (وهي من  أمثلة ما يسمى بقتل الرحمة عنده).  </w:t>
      </w:r>
    </w:p>
    <w:p w14:paraId="0F0CE6E1" w14:textId="77777777" w:rsidR="00A77B3E" w:rsidRDefault="00201914">
      <w:pPr>
        <w:bidi/>
        <w:spacing w:line="360" w:lineRule="auto"/>
        <w:jc w:val="lowKashida"/>
        <w:rPr>
          <w:rFonts w:cs="Microsoft Uighur"/>
          <w:szCs w:val="28"/>
          <w:rtl/>
        </w:rPr>
      </w:pPr>
      <w:r>
        <w:rPr>
          <w:rFonts w:cs="Microsoft Uighur"/>
          <w:szCs w:val="28"/>
          <w:rtl/>
        </w:rPr>
        <w:t xml:space="preserve">- إعطاء المريض بعض الأدوية التي تسرع في موته، وذلك لا يجوز؛ لأنها  قتل عمدي، وهي عنده من قتل الرحمة الإيجابي وهو لا يجوز وإن طلبه  (٥٠)  الرشيد الواعي (٥٠)  </w:t>
      </w:r>
    </w:p>
    <w:p w14:paraId="7D02025A" w14:textId="77777777" w:rsidR="00A77B3E" w:rsidRDefault="00201914">
      <w:pPr>
        <w:bidi/>
        <w:spacing w:line="360" w:lineRule="auto"/>
        <w:jc w:val="lowKashida"/>
        <w:rPr>
          <w:rFonts w:cs="Microsoft Uighur"/>
          <w:szCs w:val="28"/>
          <w:rtl/>
        </w:rPr>
      </w:pPr>
      <w:r>
        <w:rPr>
          <w:rFonts w:cs="Microsoft Uighur"/>
          <w:szCs w:val="28"/>
          <w:rtl/>
        </w:rPr>
        <w:t>عدم وجوب التداوي والمداواة في مقابل</w:t>
      </w:r>
      <w:r>
        <w:rPr>
          <w:rFonts w:cs="Microsoft Uighur"/>
          <w:szCs w:val="28"/>
          <w:rtl/>
        </w:rPr>
        <w:t xml:space="preserve"> الفتوى بوجوب التداوي في  بعض الحالات على الأقل، ذهب عدد من الفقهاء إلى عدم وجوب التداوي ومن  هؤلاء من أفتى بأنه: "مندوب وأفضل وهو قول الشافعية وجمهور السلف وأيده ابن  </w:t>
      </w:r>
    </w:p>
    <w:p w14:paraId="512134E0" w14:textId="77777777" w:rsidR="00A77B3E" w:rsidRDefault="00201914">
      <w:pPr>
        <w:bidi/>
        <w:spacing w:line="360" w:lineRule="auto"/>
        <w:jc w:val="lowKashida"/>
        <w:rPr>
          <w:rFonts w:cs="Microsoft Uighur"/>
          <w:szCs w:val="28"/>
          <w:rtl/>
        </w:rPr>
      </w:pPr>
      <w:r>
        <w:rPr>
          <w:rFonts w:cs="Microsoft Uighur"/>
          <w:szCs w:val="28"/>
          <w:rtl/>
        </w:rPr>
        <w:t xml:space="preserve">٢٥٩ </w:t>
      </w:r>
    </w:p>
    <w:p w14:paraId="01F64AB9" w14:textId="77777777" w:rsidR="00A77B3E" w:rsidRDefault="00201914">
      <w:pPr>
        <w:bidi/>
        <w:spacing w:line="360" w:lineRule="auto"/>
        <w:jc w:val="lowKashida"/>
        <w:rPr>
          <w:rFonts w:cs="Microsoft Uighur"/>
          <w:szCs w:val="28"/>
          <w:rtl/>
        </w:rPr>
      </w:pPr>
      <w:r>
        <w:rPr>
          <w:rFonts w:cs="Microsoft Uighur"/>
          <w:szCs w:val="28"/>
          <w:rtl/>
        </w:rPr>
        <w:lastRenderedPageBreak/>
        <w:t xml:space="preserve">دراسات مقارنة  </w:t>
      </w:r>
    </w:p>
    <w:p w14:paraId="609D4A69" w14:textId="77777777" w:rsidR="00A77B3E" w:rsidRDefault="00201914">
      <w:pPr>
        <w:bidi/>
        <w:spacing w:line="360" w:lineRule="auto"/>
        <w:jc w:val="lowKashida"/>
        <w:rPr>
          <w:rFonts w:cs="Microsoft Uighur"/>
          <w:szCs w:val="28"/>
          <w:rtl/>
        </w:rPr>
      </w:pPr>
      <w:r>
        <w:rPr>
          <w:rFonts w:cs="Microsoft Uighur"/>
          <w:szCs w:val="28"/>
          <w:rtl/>
        </w:rPr>
        <w:t>القيم والذهبي وذهب إليه الأحناف والمالكية أيضاً (١). ومن الفقهاء من عد ترك  التداوي توكلا فضيلة (٢). ومن المعاصرين من يبني موقفه الفقهي من محل بحثنا  على هذه الفتوى، يقول الشيخ يوسف القرضاوي: "إن هذه الأجهزة تدخل في باب  التداوي، وباب التداوي عند فقهاء الإ</w:t>
      </w:r>
      <w:r>
        <w:rPr>
          <w:rFonts w:cs="Microsoft Uighur"/>
          <w:szCs w:val="28"/>
          <w:rtl/>
        </w:rPr>
        <w:t xml:space="preserve">سلام عامة هو من باب المباحات، وليس من  باب الواجبات، وحتى لو أخذنا بالرأي الآخر الذي يقول بوجوب التداوي إذا كان  ناجعاً ومزيلاً للآلام، فإنه في هذه الحالة التداوي لا فائدة له. وإذا قال الأطباء إن هذا  المريض ميئوس من شفائه، وبقاؤه عبء عليه وعلى أهله، وأنه </w:t>
      </w:r>
      <w:r>
        <w:rPr>
          <w:rFonts w:cs="Microsoft Uighur"/>
          <w:szCs w:val="28"/>
          <w:rtl/>
        </w:rPr>
        <w:t>لو رفعت منه  الأجهزة لمات، ففي هذه الحالة يجوز نزع الأجهزة، كي تريحه، وتريح أهله.  الحقيقة أنه يريح أباه ويريح نفسه، فبعضهم يكون ميتا دماغياً، وإن كان القلب  يعمل، وبعضهم لا يشعر بشيء أبداً، وفي قطر أحد الشيوخ الكبار، وصل لهذه  الحالة، وأولاده سألوني، فقلت</w:t>
      </w:r>
      <w:r>
        <w:rPr>
          <w:rFonts w:cs="Microsoft Uighur"/>
          <w:szCs w:val="28"/>
          <w:rtl/>
        </w:rPr>
        <w:t xml:space="preserve"> لهم: ماذا لو نزعتم الأجهزة؟ قالوا يموت بعد دقائق،  قلت لهم: إذن لماذا تعذبونه. وفعلا خلعوا الأجهزة وتوفي، ثم جاءوا بعد ذلك  وقالوا: جزاك الله خيرا، أرحتنا وأرحته. ويتابع في مقام الرد عن حكم الموت  الرحيم: "هناك أمر يجوز وأمر لا يجوز، الأمر الذي يجوز هو أن</w:t>
      </w:r>
      <w:r>
        <w:rPr>
          <w:rFonts w:cs="Microsoft Uighur"/>
          <w:szCs w:val="28"/>
          <w:rtl/>
        </w:rPr>
        <w:t xml:space="preserve">ك لا تعطه شيئاً  فيموت، أي تمنع عنه العلاج، أو تمنع عنه الأجهزة، وهذا لا حرج فيه (٥٣).  </w:t>
      </w:r>
    </w:p>
    <w:p w14:paraId="0D3C88A0" w14:textId="77777777" w:rsidR="00A77B3E" w:rsidRDefault="00201914">
      <w:pPr>
        <w:bidi/>
        <w:spacing w:line="360" w:lineRule="auto"/>
        <w:jc w:val="lowKashida"/>
        <w:rPr>
          <w:rFonts w:cs="Microsoft Uighur"/>
          <w:szCs w:val="28"/>
          <w:rtl/>
        </w:rPr>
      </w:pPr>
      <w:r>
        <w:rPr>
          <w:rFonts w:cs="Microsoft Uighur"/>
          <w:szCs w:val="28"/>
          <w:rtl/>
        </w:rPr>
        <w:t xml:space="preserve">- العددان ( ٤-٥) السنة الثانية ٫ ربيع - صيف ٢٠١٤  </w:t>
      </w:r>
    </w:p>
    <w:p w14:paraId="66520A82" w14:textId="77777777" w:rsidR="00A77B3E" w:rsidRDefault="00201914">
      <w:pPr>
        <w:bidi/>
        <w:spacing w:line="360" w:lineRule="auto"/>
        <w:jc w:val="lowKashida"/>
        <w:rPr>
          <w:rFonts w:cs="Microsoft Uighur"/>
          <w:szCs w:val="28"/>
          <w:rtl/>
        </w:rPr>
      </w:pPr>
      <w:r>
        <w:rPr>
          <w:rFonts w:cs="Microsoft Uighur"/>
          <w:szCs w:val="28"/>
          <w:rtl/>
        </w:rPr>
        <w:t xml:space="preserve">الفقه المقارن  </w:t>
      </w:r>
    </w:p>
    <w:p w14:paraId="746A19C1" w14:textId="77777777" w:rsidR="00A77B3E" w:rsidRDefault="00201914">
      <w:pPr>
        <w:bidi/>
        <w:spacing w:line="360" w:lineRule="auto"/>
        <w:jc w:val="lowKashida"/>
        <w:rPr>
          <w:rFonts w:cs="Microsoft Uighur"/>
          <w:szCs w:val="28"/>
          <w:rtl/>
        </w:rPr>
      </w:pPr>
      <w:r>
        <w:rPr>
          <w:rFonts w:cs="Microsoft Uighur"/>
          <w:szCs w:val="28"/>
          <w:rtl/>
        </w:rPr>
        <w:t xml:space="preserve">٢٦٠ </w:t>
      </w:r>
    </w:p>
    <w:p w14:paraId="256AFCF9"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147799AD" w14:textId="77777777" w:rsidR="00A77B3E" w:rsidRDefault="00201914">
      <w:pPr>
        <w:bidi/>
        <w:spacing w:line="360" w:lineRule="auto"/>
        <w:jc w:val="lowKashida"/>
        <w:rPr>
          <w:rFonts w:cs="Microsoft Uighur"/>
          <w:szCs w:val="28"/>
          <w:rtl/>
        </w:rPr>
      </w:pPr>
      <w:r>
        <w:rPr>
          <w:rFonts w:cs="Microsoft Uighur"/>
          <w:szCs w:val="28"/>
          <w:rtl/>
        </w:rPr>
        <w:t xml:space="preserve">الهوامش :  </w:t>
      </w:r>
    </w:p>
    <w:p w14:paraId="4B4F44AF" w14:textId="77777777" w:rsidR="00A77B3E" w:rsidRDefault="00201914">
      <w:pPr>
        <w:bidi/>
        <w:spacing w:line="360" w:lineRule="auto"/>
        <w:jc w:val="lowKashida"/>
        <w:rPr>
          <w:rFonts w:cs="Microsoft Uighur"/>
          <w:szCs w:val="28"/>
          <w:rtl/>
        </w:rPr>
      </w:pPr>
      <w:r>
        <w:rPr>
          <w:rFonts w:cs="Microsoft Uighur"/>
          <w:szCs w:val="28"/>
        </w:rPr>
        <w:t xml:space="preserve">See: Josef </w:t>
      </w:r>
      <w:proofErr w:type="spellStart"/>
      <w:r>
        <w:rPr>
          <w:rFonts w:cs="Microsoft Uighur"/>
          <w:szCs w:val="28"/>
        </w:rPr>
        <w:t>Kuře</w:t>
      </w:r>
      <w:proofErr w:type="spellEnd"/>
      <w:r>
        <w:rPr>
          <w:rFonts w:cs="Microsoft Uighur"/>
          <w:szCs w:val="28"/>
        </w:rPr>
        <w:t xml:space="preserve"> (editor), Euthanasia - Th</w:t>
      </w:r>
      <w:r>
        <w:rPr>
          <w:rFonts w:cs="Microsoft Uighur"/>
          <w:szCs w:val="28"/>
        </w:rPr>
        <w:t>e "Good Death" Controversy in Humans (1</w:t>
      </w:r>
      <w:r>
        <w:rPr>
          <w:rFonts w:cs="Microsoft Uighur"/>
          <w:szCs w:val="28"/>
          <w:rtl/>
        </w:rPr>
        <w:t xml:space="preserve">)  </w:t>
      </w:r>
    </w:p>
    <w:p w14:paraId="3B0AC850" w14:textId="77777777" w:rsidR="00A77B3E" w:rsidRDefault="00201914">
      <w:pPr>
        <w:bidi/>
        <w:spacing w:line="360" w:lineRule="auto"/>
        <w:jc w:val="lowKashida"/>
        <w:rPr>
          <w:rFonts w:cs="Microsoft Uighur"/>
          <w:szCs w:val="28"/>
          <w:rtl/>
        </w:rPr>
      </w:pPr>
      <w:r>
        <w:rPr>
          <w:rFonts w:cs="Microsoft Uighur"/>
          <w:szCs w:val="28"/>
        </w:rPr>
        <w:t xml:space="preserve">and Animals, Published by </w:t>
      </w:r>
      <w:proofErr w:type="spellStart"/>
      <w:r>
        <w:rPr>
          <w:rFonts w:cs="Microsoft Uighur"/>
          <w:szCs w:val="28"/>
        </w:rPr>
        <w:t>InTech</w:t>
      </w:r>
      <w:proofErr w:type="spellEnd"/>
      <w:r>
        <w:rPr>
          <w:rFonts w:cs="Microsoft Uighur"/>
          <w:szCs w:val="28"/>
        </w:rPr>
        <w:t>, Croatia, 2011, p. 18</w:t>
      </w:r>
      <w:r>
        <w:rPr>
          <w:rFonts w:cs="Microsoft Uighur"/>
          <w:szCs w:val="28"/>
          <w:rtl/>
        </w:rPr>
        <w:t xml:space="preserve">.  </w:t>
      </w:r>
    </w:p>
    <w:p w14:paraId="27B37DA1" w14:textId="77777777" w:rsidR="00A77B3E" w:rsidRDefault="00201914">
      <w:pPr>
        <w:bidi/>
        <w:spacing w:line="360" w:lineRule="auto"/>
        <w:jc w:val="lowKashida"/>
        <w:rPr>
          <w:rFonts w:cs="Microsoft Uighur"/>
          <w:szCs w:val="28"/>
          <w:rtl/>
        </w:rPr>
      </w:pPr>
      <w:r>
        <w:rPr>
          <w:rFonts w:cs="Microsoft Uighur"/>
          <w:szCs w:val="28"/>
          <w:rtl/>
        </w:rPr>
        <w:t xml:space="preserve">(۲) داود حکمت بور، یونانازي مرگ از روی ترحم، مجله علوم اجتماعی، دانشگاه اسلامی  تابستان و پاییز شماره ۱۲-۱۳، ۹۵  </w:t>
      </w:r>
    </w:p>
    <w:p w14:paraId="2BE757CA" w14:textId="77777777" w:rsidR="00A77B3E" w:rsidRDefault="00201914">
      <w:pPr>
        <w:bidi/>
        <w:spacing w:line="360" w:lineRule="auto"/>
        <w:jc w:val="lowKashida"/>
        <w:rPr>
          <w:rFonts w:cs="Microsoft Uighur"/>
          <w:szCs w:val="28"/>
          <w:rtl/>
        </w:rPr>
      </w:pPr>
      <w:r>
        <w:rPr>
          <w:rFonts w:cs="Microsoft Uighur"/>
          <w:szCs w:val="28"/>
        </w:rPr>
        <w:t>See: http</w:t>
      </w:r>
      <w:r>
        <w:rPr>
          <w:rFonts w:cs="Microsoft Uighur"/>
          <w:szCs w:val="28"/>
          <w:rtl/>
        </w:rPr>
        <w:t>:</w:t>
      </w:r>
      <w:r>
        <w:rPr>
          <w:rFonts w:cs="Microsoft Uighur"/>
          <w:szCs w:val="28"/>
        </w:rPr>
        <w:t>٫٫www.bbc.co.uk٫ethics٫euthanas</w:t>
      </w:r>
      <w:r>
        <w:rPr>
          <w:rFonts w:cs="Microsoft Uighur"/>
          <w:szCs w:val="28"/>
        </w:rPr>
        <w:t>ia٫overview٫volinvol.shtml. (۳</w:t>
      </w:r>
      <w:r>
        <w:rPr>
          <w:rFonts w:cs="Microsoft Uighur"/>
          <w:szCs w:val="28"/>
          <w:rtl/>
        </w:rPr>
        <w:t xml:space="preserve">)  </w:t>
      </w:r>
    </w:p>
    <w:p w14:paraId="651FB31A" w14:textId="77777777" w:rsidR="00A77B3E" w:rsidRDefault="00201914">
      <w:pPr>
        <w:bidi/>
        <w:spacing w:line="360" w:lineRule="auto"/>
        <w:jc w:val="lowKashida"/>
        <w:rPr>
          <w:rFonts w:cs="Microsoft Uighur"/>
          <w:szCs w:val="28"/>
          <w:rtl/>
        </w:rPr>
      </w:pPr>
      <w:r>
        <w:rPr>
          <w:rFonts w:cs="Microsoft Uighur"/>
          <w:szCs w:val="28"/>
        </w:rPr>
        <w:t>Ibid. (2</w:t>
      </w:r>
      <w:r>
        <w:rPr>
          <w:rFonts w:cs="Microsoft Uighur"/>
          <w:szCs w:val="28"/>
          <w:rtl/>
        </w:rPr>
        <w:t xml:space="preserve">)  </w:t>
      </w:r>
    </w:p>
    <w:p w14:paraId="0C26DAAB" w14:textId="77777777" w:rsidR="00A77B3E" w:rsidRDefault="00201914">
      <w:pPr>
        <w:bidi/>
        <w:spacing w:line="360" w:lineRule="auto"/>
        <w:jc w:val="lowKashida"/>
        <w:rPr>
          <w:rFonts w:cs="Microsoft Uighur"/>
          <w:szCs w:val="28"/>
          <w:rtl/>
        </w:rPr>
      </w:pPr>
      <w:r>
        <w:rPr>
          <w:rFonts w:cs="Microsoft Uighur"/>
          <w:szCs w:val="28"/>
        </w:rPr>
        <w:t>Ibid. (0</w:t>
      </w:r>
      <w:r>
        <w:rPr>
          <w:rFonts w:cs="Microsoft Uighur"/>
          <w:szCs w:val="28"/>
          <w:rtl/>
        </w:rPr>
        <w:t xml:space="preserve">)  </w:t>
      </w:r>
    </w:p>
    <w:p w14:paraId="499F8D04" w14:textId="77777777" w:rsidR="00A77B3E" w:rsidRDefault="00201914">
      <w:pPr>
        <w:bidi/>
        <w:spacing w:line="360" w:lineRule="auto"/>
        <w:jc w:val="lowKashida"/>
        <w:rPr>
          <w:rFonts w:cs="Microsoft Uighur"/>
          <w:szCs w:val="28"/>
          <w:rtl/>
        </w:rPr>
      </w:pPr>
      <w:r>
        <w:rPr>
          <w:rFonts w:cs="Microsoft Uighur"/>
          <w:szCs w:val="28"/>
          <w:rtl/>
        </w:rPr>
        <w:t xml:space="preserve">(٦) دارد حکمت بور بوتانازي مرگ از روی ترحم، مجله علوم اجتماعی، دانشگاه اسلامی  </w:t>
      </w:r>
    </w:p>
    <w:p w14:paraId="08F1A374" w14:textId="77777777" w:rsidR="00A77B3E" w:rsidRDefault="00201914">
      <w:pPr>
        <w:bidi/>
        <w:spacing w:line="360" w:lineRule="auto"/>
        <w:jc w:val="lowKashida"/>
        <w:rPr>
          <w:rFonts w:cs="Microsoft Uighur"/>
          <w:szCs w:val="28"/>
          <w:rtl/>
        </w:rPr>
      </w:pPr>
      <w:r>
        <w:rPr>
          <w:rFonts w:cs="Microsoft Uighur"/>
          <w:szCs w:val="28"/>
          <w:rtl/>
        </w:rPr>
        <w:t xml:space="preserve">تابستان و پاییز شماره ۱۲-۱۳، ص ۱۵  </w:t>
      </w:r>
    </w:p>
    <w:p w14:paraId="39185A2E" w14:textId="77777777" w:rsidR="00A77B3E" w:rsidRDefault="00201914">
      <w:pPr>
        <w:bidi/>
        <w:spacing w:line="360" w:lineRule="auto"/>
        <w:jc w:val="lowKashida"/>
        <w:rPr>
          <w:rFonts w:cs="Microsoft Uighur"/>
          <w:szCs w:val="28"/>
          <w:rtl/>
        </w:rPr>
      </w:pPr>
      <w:r>
        <w:rPr>
          <w:rFonts w:cs="Microsoft Uighur"/>
          <w:szCs w:val="28"/>
          <w:rtl/>
        </w:rPr>
        <w:t xml:space="preserve">(۷) داود حکمت پور، مصدر سابق، ص ٦٥.  </w:t>
      </w:r>
    </w:p>
    <w:p w14:paraId="764863A9" w14:textId="77777777" w:rsidR="00A77B3E" w:rsidRDefault="00201914">
      <w:pPr>
        <w:bidi/>
        <w:spacing w:line="360" w:lineRule="auto"/>
        <w:jc w:val="lowKashida"/>
        <w:rPr>
          <w:rFonts w:cs="Microsoft Uighur"/>
          <w:szCs w:val="28"/>
          <w:rtl/>
        </w:rPr>
      </w:pPr>
      <w:r>
        <w:rPr>
          <w:rFonts w:cs="Microsoft Uighur"/>
          <w:szCs w:val="28"/>
          <w:rtl/>
        </w:rPr>
        <w:t xml:space="preserve">(۸) الهامش مقاله هاریس  </w:t>
      </w:r>
    </w:p>
    <w:p w14:paraId="52243923" w14:textId="77777777" w:rsidR="00A77B3E" w:rsidRDefault="00201914">
      <w:pPr>
        <w:bidi/>
        <w:spacing w:line="360" w:lineRule="auto"/>
        <w:jc w:val="lowKashida"/>
        <w:rPr>
          <w:rFonts w:cs="Microsoft Uighur"/>
          <w:szCs w:val="28"/>
          <w:rtl/>
        </w:rPr>
      </w:pPr>
      <w:r>
        <w:rPr>
          <w:rFonts w:cs="Microsoft Uighur"/>
          <w:szCs w:val="28"/>
        </w:rPr>
        <w:t xml:space="preserve">See: Josef </w:t>
      </w:r>
      <w:proofErr w:type="spellStart"/>
      <w:r>
        <w:rPr>
          <w:rFonts w:cs="Microsoft Uighur"/>
          <w:szCs w:val="28"/>
        </w:rPr>
        <w:t>Kuře</w:t>
      </w:r>
      <w:proofErr w:type="spellEnd"/>
      <w:r>
        <w:rPr>
          <w:rFonts w:cs="Microsoft Uighur"/>
          <w:szCs w:val="28"/>
        </w:rPr>
        <w:t xml:space="preserve"> (ed</w:t>
      </w:r>
      <w:r>
        <w:rPr>
          <w:rFonts w:cs="Microsoft Uighur"/>
          <w:szCs w:val="28"/>
        </w:rPr>
        <w:t>itor), OPCIT, P. 11. (۹</w:t>
      </w:r>
      <w:r>
        <w:rPr>
          <w:rFonts w:cs="Microsoft Uighur"/>
          <w:szCs w:val="28"/>
          <w:rtl/>
        </w:rPr>
        <w:t xml:space="preserve">)  </w:t>
      </w:r>
    </w:p>
    <w:p w14:paraId="52B0DF89" w14:textId="77777777" w:rsidR="00A77B3E" w:rsidRDefault="00201914">
      <w:pPr>
        <w:bidi/>
        <w:spacing w:line="360" w:lineRule="auto"/>
        <w:jc w:val="lowKashida"/>
        <w:rPr>
          <w:rFonts w:cs="Microsoft Uighur"/>
          <w:szCs w:val="28"/>
          <w:rtl/>
        </w:rPr>
      </w:pPr>
      <w:r>
        <w:rPr>
          <w:rFonts w:cs="Microsoft Uighur"/>
          <w:szCs w:val="28"/>
          <w:rtl/>
        </w:rPr>
        <w:t>(۱۰) تجدر الإشارة إلى وجود عشرات الجمعيات في الغرب، تنادي بالحق في الموت، أو الموت  بشرف أو التدبير الذاتي للخروج النهائي، وما شابه من التعبيرات. وقد شكل عدد من هذه  الجمعيات اتحادا فدراليا للتنسيق في ما بينها. للمزيد حول هذه الج</w:t>
      </w:r>
      <w:r>
        <w:rPr>
          <w:rFonts w:cs="Microsoft Uighur"/>
          <w:szCs w:val="28"/>
          <w:rtl/>
        </w:rPr>
        <w:t xml:space="preserve">معيات انظر:  </w:t>
      </w:r>
    </w:p>
    <w:p w14:paraId="667C7338" w14:textId="77777777" w:rsidR="00A77B3E" w:rsidRDefault="00201914">
      <w:pPr>
        <w:bidi/>
        <w:spacing w:line="360" w:lineRule="auto"/>
        <w:jc w:val="lowKashida"/>
        <w:rPr>
          <w:rFonts w:cs="Microsoft Uighur"/>
          <w:szCs w:val="28"/>
          <w:rtl/>
        </w:rPr>
      </w:pPr>
      <w:r>
        <w:rPr>
          <w:rFonts w:cs="Microsoft Uighur"/>
          <w:szCs w:val="28"/>
        </w:rPr>
        <w:lastRenderedPageBreak/>
        <w:t>http</w:t>
      </w:r>
      <w:r>
        <w:rPr>
          <w:rFonts w:cs="Microsoft Uighur"/>
          <w:szCs w:val="28"/>
          <w:rtl/>
        </w:rPr>
        <w:t>:</w:t>
      </w:r>
      <w:r>
        <w:rPr>
          <w:rFonts w:cs="Microsoft Uighur"/>
          <w:szCs w:val="28"/>
        </w:rPr>
        <w:t>٫٫www.worldrtd.net٫</w:t>
      </w:r>
      <w:r>
        <w:rPr>
          <w:rFonts w:cs="Microsoft Uighur"/>
          <w:szCs w:val="28"/>
          <w:rtl/>
        </w:rPr>
        <w:t xml:space="preserve"> </w:t>
      </w:r>
    </w:p>
    <w:p w14:paraId="4F5D0D20" w14:textId="77777777" w:rsidR="00A77B3E" w:rsidRDefault="00201914">
      <w:pPr>
        <w:bidi/>
        <w:spacing w:line="360" w:lineRule="auto"/>
        <w:jc w:val="lowKashida"/>
        <w:rPr>
          <w:rFonts w:cs="Microsoft Uighur"/>
          <w:szCs w:val="28"/>
          <w:rtl/>
        </w:rPr>
      </w:pPr>
      <w:r>
        <w:rPr>
          <w:rFonts w:cs="Microsoft Uighur"/>
          <w:szCs w:val="28"/>
        </w:rPr>
        <w:t>http</w:t>
      </w:r>
      <w:r>
        <w:rPr>
          <w:rFonts w:cs="Microsoft Uighur"/>
          <w:szCs w:val="28"/>
          <w:rtl/>
        </w:rPr>
        <w:t>:</w:t>
      </w:r>
      <w:r>
        <w:rPr>
          <w:rFonts w:cs="Microsoft Uighur"/>
          <w:szCs w:val="28"/>
        </w:rPr>
        <w:t>٫٫en.wikipedia.org٫wiki٫World_Federation_of_Right_to_Die_Societies</w:t>
      </w:r>
      <w:r>
        <w:rPr>
          <w:rFonts w:cs="Microsoft Uighur"/>
          <w:szCs w:val="28"/>
          <w:rtl/>
        </w:rPr>
        <w:t xml:space="preserve">  </w:t>
      </w:r>
    </w:p>
    <w:p w14:paraId="3FCD600A" w14:textId="77777777" w:rsidR="00A77B3E" w:rsidRDefault="00201914">
      <w:pPr>
        <w:bidi/>
        <w:spacing w:line="360" w:lineRule="auto"/>
        <w:jc w:val="lowKashida"/>
        <w:rPr>
          <w:rFonts w:cs="Microsoft Uighur"/>
          <w:szCs w:val="28"/>
          <w:rtl/>
        </w:rPr>
      </w:pPr>
      <w:r>
        <w:rPr>
          <w:rFonts w:cs="Microsoft Uighur"/>
          <w:szCs w:val="28"/>
        </w:rPr>
        <w:t>Lord Brown Wilkinson, in Airedale N.H.S., Trust v Bland, 1993. А.С. 789. (۱۱</w:t>
      </w:r>
      <w:r>
        <w:rPr>
          <w:rFonts w:cs="Microsoft Uighur"/>
          <w:szCs w:val="28"/>
          <w:rtl/>
        </w:rPr>
        <w:t xml:space="preserve">)  </w:t>
      </w:r>
    </w:p>
    <w:p w14:paraId="44EA2A30" w14:textId="77777777" w:rsidR="00A77B3E" w:rsidRDefault="00201914">
      <w:pPr>
        <w:bidi/>
        <w:spacing w:line="360" w:lineRule="auto"/>
        <w:jc w:val="lowKashida"/>
        <w:rPr>
          <w:rFonts w:cs="Microsoft Uighur"/>
          <w:szCs w:val="28"/>
          <w:rtl/>
        </w:rPr>
      </w:pPr>
      <w:r>
        <w:rPr>
          <w:rFonts w:cs="Microsoft Uighur"/>
          <w:szCs w:val="28"/>
        </w:rPr>
        <w:t xml:space="preserve">Lawrence O. </w:t>
      </w:r>
      <w:proofErr w:type="spellStart"/>
      <w:r>
        <w:rPr>
          <w:rFonts w:cs="Microsoft Uighur"/>
          <w:szCs w:val="28"/>
        </w:rPr>
        <w:t>Gostin</w:t>
      </w:r>
      <w:proofErr w:type="spellEnd"/>
      <w:r>
        <w:rPr>
          <w:rFonts w:cs="Microsoft Uighur"/>
          <w:szCs w:val="28"/>
        </w:rPr>
        <w:t xml:space="preserve">, "Drawing a Line Between Killing and </w:t>
      </w:r>
      <w:r>
        <w:rPr>
          <w:rFonts w:cs="Microsoft Uighur"/>
          <w:szCs w:val="28"/>
        </w:rPr>
        <w:t>Letting Die: The Law, (۱۲)  and Law Reform, on Medically Assisted Dying", The Journal of Law, Medicine</w:t>
      </w:r>
      <w:r>
        <w:rPr>
          <w:rFonts w:cs="Microsoft Uighur"/>
          <w:szCs w:val="28"/>
          <w:rtl/>
        </w:rPr>
        <w:t xml:space="preserve"> &amp;  </w:t>
      </w:r>
    </w:p>
    <w:p w14:paraId="66614302" w14:textId="77777777" w:rsidR="00A77B3E" w:rsidRDefault="00201914">
      <w:pPr>
        <w:bidi/>
        <w:spacing w:line="360" w:lineRule="auto"/>
        <w:jc w:val="lowKashida"/>
        <w:rPr>
          <w:rFonts w:cs="Microsoft Uighur"/>
          <w:szCs w:val="28"/>
          <w:rtl/>
        </w:rPr>
      </w:pPr>
      <w:r>
        <w:rPr>
          <w:rFonts w:cs="Microsoft Uighur"/>
          <w:szCs w:val="28"/>
        </w:rPr>
        <w:t>Ethics, Volume 21: 1. Spring 1993</w:t>
      </w:r>
      <w:r>
        <w:rPr>
          <w:rFonts w:cs="Microsoft Uighur"/>
          <w:szCs w:val="28"/>
          <w:rtl/>
        </w:rPr>
        <w:t xml:space="preserve">.  </w:t>
      </w:r>
    </w:p>
    <w:p w14:paraId="3C54A02F" w14:textId="77777777" w:rsidR="00A77B3E" w:rsidRDefault="00201914">
      <w:pPr>
        <w:bidi/>
        <w:spacing w:line="360" w:lineRule="auto"/>
        <w:jc w:val="lowKashida"/>
        <w:rPr>
          <w:rFonts w:cs="Microsoft Uighur"/>
          <w:szCs w:val="28"/>
          <w:rtl/>
        </w:rPr>
      </w:pPr>
      <w:r>
        <w:rPr>
          <w:rFonts w:cs="Microsoft Uighur"/>
          <w:szCs w:val="28"/>
          <w:rtl/>
        </w:rPr>
        <w:t>(۱۳) وهذا ما يتهم به بول لوفور (</w:t>
      </w:r>
      <w:r>
        <w:rPr>
          <w:rFonts w:cs="Microsoft Uighur"/>
          <w:szCs w:val="28"/>
        </w:rPr>
        <w:t xml:space="preserve">Paul </w:t>
      </w:r>
      <w:proofErr w:type="spellStart"/>
      <w:r>
        <w:rPr>
          <w:rFonts w:cs="Microsoft Uighur"/>
          <w:szCs w:val="28"/>
        </w:rPr>
        <w:t>Lefort</w:t>
      </w:r>
      <w:proofErr w:type="spellEnd"/>
      <w:r>
        <w:rPr>
          <w:rFonts w:cs="Microsoft Uighur"/>
          <w:szCs w:val="28"/>
          <w:rtl/>
        </w:rPr>
        <w:t>) حكومة كيبيك في كندا، بأنها لا تشرع القتل الرحيم  لعجز الأطباء عن تط</w:t>
      </w:r>
      <w:r>
        <w:rPr>
          <w:rFonts w:cs="Microsoft Uighur"/>
          <w:szCs w:val="28"/>
          <w:rtl/>
        </w:rPr>
        <w:t xml:space="preserve">بيب المرضى، بل لعجزها هي عن دفع فاتورة علاجهم. للمزيد انظر:  </w:t>
      </w:r>
    </w:p>
    <w:p w14:paraId="1591F99A" w14:textId="77777777" w:rsidR="00A77B3E" w:rsidRDefault="00201914">
      <w:pPr>
        <w:bidi/>
        <w:spacing w:line="360" w:lineRule="auto"/>
        <w:jc w:val="lowKashida"/>
        <w:rPr>
          <w:rFonts w:cs="Microsoft Uighur"/>
          <w:szCs w:val="28"/>
          <w:rtl/>
        </w:rPr>
      </w:pPr>
      <w:r>
        <w:rPr>
          <w:rFonts w:cs="Microsoft Uighur"/>
          <w:szCs w:val="28"/>
        </w:rPr>
        <w:t>http</w:t>
      </w:r>
      <w:r>
        <w:rPr>
          <w:rFonts w:cs="Microsoft Uighur"/>
          <w:szCs w:val="28"/>
          <w:rtl/>
        </w:rPr>
        <w:t>:</w:t>
      </w:r>
      <w:r>
        <w:rPr>
          <w:rFonts w:cs="Microsoft Uighur"/>
          <w:szCs w:val="28"/>
        </w:rPr>
        <w:t>٫٫www.genethique.org٫</w:t>
      </w:r>
      <w:r>
        <w:rPr>
          <w:rFonts w:cs="Microsoft Uighur"/>
          <w:szCs w:val="28"/>
          <w:rtl/>
        </w:rPr>
        <w:t>?</w:t>
      </w:r>
      <w:r>
        <w:rPr>
          <w:rFonts w:cs="Microsoft Uighur"/>
          <w:szCs w:val="28"/>
        </w:rPr>
        <w:t>q=</w:t>
      </w:r>
      <w:proofErr w:type="spellStart"/>
      <w:r>
        <w:rPr>
          <w:rFonts w:cs="Microsoft Uighur"/>
          <w:szCs w:val="28"/>
        </w:rPr>
        <w:t>en٫content٫euthanasia-preferred-financial-grounds</w:t>
      </w:r>
      <w:proofErr w:type="spellEnd"/>
      <w:r>
        <w:rPr>
          <w:rFonts w:cs="Microsoft Uighur"/>
          <w:szCs w:val="28"/>
          <w:rtl/>
        </w:rPr>
        <w:t xml:space="preserve">  </w:t>
      </w:r>
    </w:p>
    <w:p w14:paraId="1C214A36" w14:textId="77777777" w:rsidR="00A77B3E" w:rsidRDefault="00201914">
      <w:pPr>
        <w:bidi/>
        <w:spacing w:line="360" w:lineRule="auto"/>
        <w:jc w:val="lowKashida"/>
        <w:rPr>
          <w:rFonts w:cs="Microsoft Uighur"/>
          <w:szCs w:val="28"/>
          <w:rtl/>
        </w:rPr>
      </w:pPr>
      <w:r>
        <w:rPr>
          <w:rFonts w:cs="Microsoft Uighur"/>
          <w:szCs w:val="28"/>
          <w:rtl/>
        </w:rPr>
        <w:t xml:space="preserve">(١٤) هذا النص مقتبس من دراسة من منشورات </w:t>
      </w:r>
      <w:r>
        <w:rPr>
          <w:rFonts w:cs="Microsoft Uighur"/>
          <w:szCs w:val="28"/>
        </w:rPr>
        <w:t xml:space="preserve">jones and bartlett publishers </w:t>
      </w:r>
      <w:proofErr w:type="spellStart"/>
      <w:r>
        <w:rPr>
          <w:rFonts w:cs="Microsoft Uighur"/>
          <w:szCs w:val="28"/>
        </w:rPr>
        <w:t>ll</w:t>
      </w:r>
      <w:proofErr w:type="spellEnd"/>
      <w:r>
        <w:rPr>
          <w:rFonts w:cs="Microsoft Uighur"/>
          <w:szCs w:val="28"/>
          <w:rtl/>
        </w:rPr>
        <w:t>) وهي فصل  خامس من كتاب أكبر حملته عن الإ</w:t>
      </w:r>
      <w:r>
        <w:rPr>
          <w:rFonts w:cs="Microsoft Uighur"/>
          <w:szCs w:val="28"/>
          <w:rtl/>
        </w:rPr>
        <w:t xml:space="preserve">نترنت ولم يسمح لي الوقت بالعثور على سائر الفصول  للتوثيق بشكل أدق مع الإشارة إلى أن الاقتباس هو من الصفحة ٤٠ من هذه الدراسة وعنوان  </w:t>
      </w:r>
    </w:p>
    <w:p w14:paraId="4428B51C" w14:textId="77777777" w:rsidR="00A77B3E" w:rsidRDefault="00201914">
      <w:pPr>
        <w:bidi/>
        <w:spacing w:line="360" w:lineRule="auto"/>
        <w:jc w:val="lowKashida"/>
        <w:rPr>
          <w:rFonts w:cs="Microsoft Uighur"/>
          <w:szCs w:val="28"/>
          <w:rtl/>
        </w:rPr>
      </w:pPr>
      <w:r>
        <w:rPr>
          <w:rFonts w:cs="Microsoft Uighur"/>
          <w:szCs w:val="28"/>
          <w:rtl/>
        </w:rPr>
        <w:t>)</w:t>
      </w:r>
      <w:r>
        <w:rPr>
          <w:rFonts w:cs="Microsoft Uighur"/>
          <w:szCs w:val="28"/>
        </w:rPr>
        <w:t>Bioethics, Euthanasia, and Physician-Assisted Suicide</w:t>
      </w:r>
      <w:r>
        <w:rPr>
          <w:rFonts w:cs="Microsoft Uighur"/>
          <w:szCs w:val="28"/>
          <w:rtl/>
        </w:rPr>
        <w:t xml:space="preserve">( :الفصل هو  </w:t>
      </w:r>
    </w:p>
    <w:p w14:paraId="68B8D58D" w14:textId="77777777" w:rsidR="00A77B3E" w:rsidRDefault="00201914">
      <w:pPr>
        <w:bidi/>
        <w:spacing w:line="360" w:lineRule="auto"/>
        <w:jc w:val="lowKashida"/>
        <w:rPr>
          <w:rFonts w:cs="Microsoft Uighur"/>
          <w:szCs w:val="28"/>
          <w:rtl/>
        </w:rPr>
      </w:pPr>
      <w:r>
        <w:rPr>
          <w:rFonts w:cs="Microsoft Uighur"/>
          <w:szCs w:val="28"/>
          <w:rtl/>
        </w:rPr>
        <w:t xml:space="preserve">٢٦١ </w:t>
      </w:r>
    </w:p>
    <w:p w14:paraId="15E56F05"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1DE0E2C4" w14:textId="77777777" w:rsidR="00A77B3E" w:rsidRDefault="00201914">
      <w:pPr>
        <w:bidi/>
        <w:spacing w:line="360" w:lineRule="auto"/>
        <w:jc w:val="lowKashida"/>
        <w:rPr>
          <w:rFonts w:cs="Microsoft Uighur"/>
          <w:szCs w:val="28"/>
          <w:rtl/>
        </w:rPr>
      </w:pPr>
      <w:r>
        <w:rPr>
          <w:rFonts w:cs="Microsoft Uighur"/>
          <w:szCs w:val="28"/>
        </w:rPr>
        <w:t xml:space="preserve">John Keown, Euthanasia </w:t>
      </w:r>
      <w:r>
        <w:rPr>
          <w:rFonts w:cs="Microsoft Uighur"/>
          <w:szCs w:val="28"/>
        </w:rPr>
        <w:t>Examined Ethical, Clinical and Legal Perspectives, (10</w:t>
      </w:r>
      <w:r>
        <w:rPr>
          <w:rFonts w:cs="Microsoft Uighur"/>
          <w:szCs w:val="28"/>
          <w:rtl/>
        </w:rPr>
        <w:t xml:space="preserve">)  </w:t>
      </w:r>
    </w:p>
    <w:p w14:paraId="57684BC6" w14:textId="77777777" w:rsidR="00A77B3E" w:rsidRDefault="00201914">
      <w:pPr>
        <w:bidi/>
        <w:spacing w:line="360" w:lineRule="auto"/>
        <w:jc w:val="lowKashida"/>
        <w:rPr>
          <w:rFonts w:cs="Microsoft Uighur"/>
          <w:szCs w:val="28"/>
          <w:rtl/>
        </w:rPr>
      </w:pPr>
      <w:r>
        <w:rPr>
          <w:rFonts w:cs="Microsoft Uighur"/>
          <w:szCs w:val="28"/>
        </w:rPr>
        <w:t>Cambridge, Cambridge University Press, 1995, P. 1</w:t>
      </w:r>
      <w:r>
        <w:rPr>
          <w:rFonts w:cs="Microsoft Uighur"/>
          <w:szCs w:val="28"/>
          <w:rtl/>
        </w:rPr>
        <w:t xml:space="preserve">.  </w:t>
      </w:r>
    </w:p>
    <w:p w14:paraId="572FCB36" w14:textId="77777777" w:rsidR="00A77B3E" w:rsidRDefault="00201914">
      <w:pPr>
        <w:bidi/>
        <w:spacing w:line="360" w:lineRule="auto"/>
        <w:jc w:val="lowKashida"/>
        <w:rPr>
          <w:rFonts w:cs="Microsoft Uighur"/>
          <w:szCs w:val="28"/>
          <w:rtl/>
        </w:rPr>
      </w:pPr>
      <w:r>
        <w:rPr>
          <w:rFonts w:cs="Microsoft Uighur"/>
          <w:szCs w:val="28"/>
        </w:rPr>
        <w:t>Harris. NM. (Oct 2007), "The euthanasia debate", JR Army Med Corps 147 (3</w:t>
      </w:r>
      <w:r>
        <w:rPr>
          <w:rFonts w:cs="Microsoft Uighur"/>
          <w:szCs w:val="28"/>
          <w:rtl/>
        </w:rPr>
        <w:t xml:space="preserve">): (١٦)  </w:t>
      </w:r>
    </w:p>
    <w:p w14:paraId="5F93C01D" w14:textId="77777777" w:rsidR="00A77B3E" w:rsidRDefault="00201914">
      <w:pPr>
        <w:bidi/>
        <w:spacing w:line="360" w:lineRule="auto"/>
        <w:jc w:val="lowKashida"/>
        <w:rPr>
          <w:rFonts w:cs="Microsoft Uighur"/>
          <w:szCs w:val="28"/>
          <w:rtl/>
        </w:rPr>
      </w:pPr>
      <w:r>
        <w:rPr>
          <w:rFonts w:cs="Microsoft Uighur"/>
          <w:szCs w:val="28"/>
          <w:rtl/>
        </w:rPr>
        <w:t xml:space="preserve">367-370.  </w:t>
      </w:r>
    </w:p>
    <w:p w14:paraId="423E0F26" w14:textId="77777777" w:rsidR="00A77B3E" w:rsidRDefault="00201914">
      <w:pPr>
        <w:bidi/>
        <w:spacing w:line="360" w:lineRule="auto"/>
        <w:jc w:val="lowKashida"/>
        <w:rPr>
          <w:rFonts w:cs="Microsoft Uighur"/>
          <w:szCs w:val="28"/>
          <w:rtl/>
        </w:rPr>
      </w:pPr>
      <w:r>
        <w:rPr>
          <w:rFonts w:cs="Microsoft Uighur"/>
          <w:szCs w:val="28"/>
          <w:rtl/>
        </w:rPr>
        <w:t>(۱۷) محمد عبد الجواد، بحوث في الشريعة والقانون في ا</w:t>
      </w:r>
      <w:r>
        <w:rPr>
          <w:rFonts w:cs="Microsoft Uighur"/>
          <w:szCs w:val="28"/>
          <w:rtl/>
        </w:rPr>
        <w:t>لطب الإسلامي، دار المنارة، منشأة  المعارف، ص ١٠٦؛ وحربة سليم القتل العمد وأوصافه المختلفة، بغداد، ۱۹۸۸، ص ۱۲۹؛  شرف الدين أحمد الأحكام الشرعية للأعمال الطبية الكويت المجلس الوطني للثقافة والفنون  والآداب، ۱۹۸۳؛ ص ۱۸٤؛ كل ذلك نقلا عن عمر بن عبد الله بن مشار</w:t>
      </w:r>
      <w:r>
        <w:rPr>
          <w:rFonts w:cs="Microsoft Uighur"/>
          <w:szCs w:val="28"/>
          <w:rtl/>
        </w:rPr>
        <w:t xml:space="preserve">ي السعدون، القتل  الرحيم: دراسة تأصيلية مقارنة، رسالة ماجستير، جامعة نايف العربية للعلوم الأمنية، ۲۰۰۹، ص ۸  </w:t>
      </w:r>
    </w:p>
    <w:p w14:paraId="61D7ECE2" w14:textId="77777777" w:rsidR="00A77B3E" w:rsidRDefault="00201914">
      <w:pPr>
        <w:bidi/>
        <w:spacing w:line="360" w:lineRule="auto"/>
        <w:jc w:val="lowKashida"/>
        <w:rPr>
          <w:rFonts w:cs="Microsoft Uighur"/>
          <w:szCs w:val="28"/>
          <w:rtl/>
        </w:rPr>
      </w:pPr>
      <w:r>
        <w:rPr>
          <w:rFonts w:cs="Microsoft Uighur"/>
          <w:szCs w:val="28"/>
          <w:rtl/>
        </w:rPr>
        <w:t xml:space="preserve">(۱۸) سورة المائدة: الآية ١٥١.  </w:t>
      </w:r>
    </w:p>
    <w:p w14:paraId="33A79044" w14:textId="77777777" w:rsidR="00A77B3E" w:rsidRDefault="00201914">
      <w:pPr>
        <w:bidi/>
        <w:spacing w:line="360" w:lineRule="auto"/>
        <w:jc w:val="lowKashida"/>
        <w:rPr>
          <w:rFonts w:cs="Microsoft Uighur"/>
          <w:szCs w:val="28"/>
          <w:rtl/>
        </w:rPr>
      </w:pPr>
      <w:r>
        <w:rPr>
          <w:rFonts w:cs="Microsoft Uighur"/>
          <w:szCs w:val="28"/>
          <w:rtl/>
        </w:rPr>
        <w:t xml:space="preserve">(۱۹) سورة الإسراء: الآية ٣٣  </w:t>
      </w:r>
    </w:p>
    <w:p w14:paraId="3E564556" w14:textId="77777777" w:rsidR="00A77B3E" w:rsidRDefault="00201914">
      <w:pPr>
        <w:bidi/>
        <w:spacing w:line="360" w:lineRule="auto"/>
        <w:jc w:val="lowKashida"/>
        <w:rPr>
          <w:rFonts w:cs="Microsoft Uighur"/>
          <w:szCs w:val="28"/>
          <w:rtl/>
        </w:rPr>
      </w:pPr>
      <w:r>
        <w:rPr>
          <w:rFonts w:cs="Microsoft Uighur"/>
          <w:szCs w:val="28"/>
          <w:rtl/>
        </w:rPr>
        <w:t xml:space="preserve">(۲۰) انظر: سورة المائدة: الآية ١٥١؛ وسورة الإسراء: الآية ٣١.  </w:t>
      </w:r>
    </w:p>
    <w:p w14:paraId="0EAEDCC5" w14:textId="77777777" w:rsidR="00A77B3E" w:rsidRDefault="00201914">
      <w:pPr>
        <w:bidi/>
        <w:spacing w:line="360" w:lineRule="auto"/>
        <w:jc w:val="lowKashida"/>
        <w:rPr>
          <w:rFonts w:cs="Microsoft Uighur"/>
          <w:szCs w:val="28"/>
          <w:rtl/>
        </w:rPr>
      </w:pPr>
      <w:r>
        <w:rPr>
          <w:rFonts w:cs="Microsoft Uighur"/>
          <w:szCs w:val="28"/>
          <w:rtl/>
        </w:rPr>
        <w:t>(۲۱) انظر: سورة النحل</w:t>
      </w:r>
      <w:r>
        <w:rPr>
          <w:rFonts w:cs="Microsoft Uighur"/>
          <w:szCs w:val="28"/>
          <w:rtl/>
        </w:rPr>
        <w:t xml:space="preserve">: الآيتان ٥٨-٥٩  </w:t>
      </w:r>
    </w:p>
    <w:p w14:paraId="655833F3" w14:textId="77777777" w:rsidR="00A77B3E" w:rsidRDefault="00201914">
      <w:pPr>
        <w:bidi/>
        <w:spacing w:line="360" w:lineRule="auto"/>
        <w:jc w:val="lowKashida"/>
        <w:rPr>
          <w:rFonts w:cs="Microsoft Uighur"/>
          <w:szCs w:val="28"/>
          <w:rtl/>
        </w:rPr>
      </w:pPr>
      <w:r>
        <w:rPr>
          <w:rFonts w:cs="Microsoft Uighur"/>
          <w:szCs w:val="28"/>
          <w:rtl/>
        </w:rPr>
        <w:lastRenderedPageBreak/>
        <w:t xml:space="preserve">(۲۲) والقصاص تشريع منصوص عليه في القرآن الكريم في الآية ٣٣ من سورة الإسراء المذكورة  أعلاه وفي قوله تعالى: ﴿يَا أَيُّهَا الَّذِينَ آمَنُوا كُتِبَ عَلَيْكُمُ الْقِصَاصِ فِي الْقَتْلَى الْحُرُّ بِالْحَرِّ  وَالْعَبْدُ بِالْعَبْدِ وَالأُنثى </w:t>
      </w:r>
      <w:r>
        <w:rPr>
          <w:rFonts w:cs="Microsoft Uighur"/>
          <w:szCs w:val="28"/>
          <w:rtl/>
        </w:rPr>
        <w:t xml:space="preserve">بالأُنثى فَمَنْ عَفِيَ لَهُ مِنْ أَخِيهِ شَيْءٍ فَاتَّبَاعٌ بِالْمَعْرُوفِ وَأَدَاءَ إِلَيْهِ  بِإِحْسَانٍ ذَلِكَ تَخْفِيفَ مِّن رَّبِّكُمْ وَرَحْمَةٌ فَمَنِ اعْتَدَى بَعْدَ ذَلِكَ فَلَهُ عَذَابٌ أَلِيمٌ) (سورة  البقرة: الآية (۱۷۸).  </w:t>
      </w:r>
    </w:p>
    <w:p w14:paraId="03CDEEF0" w14:textId="77777777" w:rsidR="00A77B3E" w:rsidRDefault="00201914">
      <w:pPr>
        <w:bidi/>
        <w:spacing w:line="360" w:lineRule="auto"/>
        <w:jc w:val="lowKashida"/>
        <w:rPr>
          <w:rFonts w:cs="Microsoft Uighur"/>
          <w:szCs w:val="28"/>
          <w:rtl/>
        </w:rPr>
      </w:pPr>
      <w:r>
        <w:rPr>
          <w:rFonts w:cs="Microsoft Uighur"/>
          <w:szCs w:val="28"/>
          <w:rtl/>
        </w:rPr>
        <w:t xml:space="preserve">(۲۳) انظر كنماذج ابن </w:t>
      </w:r>
      <w:r>
        <w:rPr>
          <w:rFonts w:cs="Microsoft Uighur"/>
          <w:szCs w:val="28"/>
          <w:rtl/>
        </w:rPr>
        <w:t xml:space="preserve">أبي جمهور الأقطاب الفقهية، ج ۱، ص ۳۱؛ السيد الكلبايكاني، الدر المنضود،  ج ۱، ۲۱  </w:t>
      </w:r>
    </w:p>
    <w:p w14:paraId="0E5411C2" w14:textId="77777777" w:rsidR="00A77B3E" w:rsidRDefault="00201914">
      <w:pPr>
        <w:bidi/>
        <w:spacing w:line="360" w:lineRule="auto"/>
        <w:jc w:val="lowKashida"/>
        <w:rPr>
          <w:rFonts w:cs="Microsoft Uighur"/>
          <w:szCs w:val="28"/>
          <w:rtl/>
        </w:rPr>
      </w:pPr>
      <w:r>
        <w:rPr>
          <w:rFonts w:cs="Microsoft Uighur"/>
          <w:szCs w:val="28"/>
          <w:rtl/>
        </w:rPr>
        <w:t xml:space="preserve">(٢٤) ممن عدها من المستحدثات والنوازل، عمر بن عبد الله بن مشاري السعدون القتل الرحيم:  دراسة تأصيلية مقارنة، رسالة ماجستير جامعة نايف العربية للعلوم الأمنية، ۲۰۰۹، ص ۳؛ وبكر  </w:t>
      </w:r>
      <w:r>
        <w:rPr>
          <w:rFonts w:cs="Microsoft Uighur"/>
          <w:szCs w:val="28"/>
          <w:rtl/>
        </w:rPr>
        <w:t xml:space="preserve">أبو زيد، فقه النوازل، مؤسسة الرسالة، بيروت، ج ۱، ص ٢١٥ وما بعدها.  </w:t>
      </w:r>
    </w:p>
    <w:p w14:paraId="4A39E52A" w14:textId="77777777" w:rsidR="00A77B3E" w:rsidRDefault="00201914">
      <w:pPr>
        <w:bidi/>
        <w:spacing w:line="360" w:lineRule="auto"/>
        <w:jc w:val="lowKashida"/>
        <w:rPr>
          <w:rFonts w:cs="Microsoft Uighur"/>
          <w:szCs w:val="28"/>
          <w:rtl/>
        </w:rPr>
      </w:pPr>
      <w:r>
        <w:rPr>
          <w:rFonts w:cs="Microsoft Uighur"/>
          <w:szCs w:val="28"/>
          <w:rtl/>
        </w:rPr>
        <w:t xml:space="preserve">(٢٥) سنوضح هذا المفهوم بعد قليل لما له من أثر في النقاشات الآتية.  </w:t>
      </w:r>
    </w:p>
    <w:p w14:paraId="2A19641C" w14:textId="77777777" w:rsidR="00A77B3E" w:rsidRDefault="00201914">
      <w:pPr>
        <w:bidi/>
        <w:spacing w:line="360" w:lineRule="auto"/>
        <w:jc w:val="lowKashida"/>
        <w:rPr>
          <w:rFonts w:cs="Microsoft Uighur"/>
          <w:szCs w:val="28"/>
          <w:rtl/>
        </w:rPr>
      </w:pPr>
      <w:r>
        <w:rPr>
          <w:rFonts w:cs="Microsoft Uighur"/>
          <w:szCs w:val="28"/>
          <w:rtl/>
        </w:rPr>
        <w:t xml:space="preserve">(٢٦) الشيخ الطوسي، المبسوط، تصحيح وتعليق محمد الباقر البهبودي، المكتبة المرتضوية، لا مكان  لا تا، ج ۷، ص ۲۰.  </w:t>
      </w:r>
    </w:p>
    <w:p w14:paraId="2B225692" w14:textId="77777777" w:rsidR="00A77B3E" w:rsidRDefault="00201914">
      <w:pPr>
        <w:bidi/>
        <w:spacing w:line="360" w:lineRule="auto"/>
        <w:jc w:val="lowKashida"/>
        <w:rPr>
          <w:rFonts w:cs="Microsoft Uighur"/>
          <w:szCs w:val="28"/>
          <w:rtl/>
        </w:rPr>
      </w:pPr>
      <w:r>
        <w:rPr>
          <w:rFonts w:cs="Microsoft Uighur"/>
          <w:szCs w:val="28"/>
          <w:rtl/>
        </w:rPr>
        <w:t xml:space="preserve">(۲۷) عبد </w:t>
      </w:r>
      <w:r>
        <w:rPr>
          <w:rFonts w:cs="Microsoft Uighur"/>
          <w:szCs w:val="28"/>
          <w:rtl/>
        </w:rPr>
        <w:t xml:space="preserve">الله بن قدامة، المغني دار الكتاب العربي، بيروت، لا تا، ج ۹، ص ۳۸۵  </w:t>
      </w:r>
    </w:p>
    <w:p w14:paraId="5F5FF50E" w14:textId="77777777" w:rsidR="00A77B3E" w:rsidRDefault="00201914">
      <w:pPr>
        <w:bidi/>
        <w:spacing w:line="360" w:lineRule="auto"/>
        <w:jc w:val="lowKashida"/>
        <w:rPr>
          <w:rFonts w:cs="Microsoft Uighur"/>
          <w:szCs w:val="28"/>
          <w:rtl/>
        </w:rPr>
      </w:pPr>
      <w:r>
        <w:rPr>
          <w:rFonts w:cs="Microsoft Uighur"/>
          <w:szCs w:val="28"/>
          <w:rtl/>
        </w:rPr>
        <w:t>(۲۸) الشيخ الطوسي، المبسوط، ج ۶، ۲۸۵؛ السيد اليزدي، حاشية المكاسب، ج ۱، ص ۲۷؛ ابن أبي  جمهور الإحسائي الأقطاب الفقهية، ص ۱۲۹؛ الشهيد الثاني الروضة البهية في شرح اللمعة  الدمشقية، ج ۵، ص ٤٥</w:t>
      </w:r>
      <w:r>
        <w:rPr>
          <w:rFonts w:cs="Microsoft Uighur"/>
          <w:szCs w:val="28"/>
          <w:rtl/>
        </w:rPr>
        <w:t xml:space="preserve">٣ الشهيد الثاني، رسائل الشهيد الثاني، ج ۱، ص ٦١٨؛ الوحيد البهبهاني  </w:t>
      </w:r>
    </w:p>
    <w:p w14:paraId="7F490801" w14:textId="77777777" w:rsidR="00A77B3E" w:rsidRDefault="00201914">
      <w:pPr>
        <w:bidi/>
        <w:spacing w:line="360" w:lineRule="auto"/>
        <w:jc w:val="lowKashida"/>
        <w:rPr>
          <w:rFonts w:cs="Microsoft Uighur"/>
          <w:szCs w:val="28"/>
          <w:rtl/>
        </w:rPr>
      </w:pPr>
      <w:r>
        <w:rPr>
          <w:rFonts w:cs="Microsoft Uighur"/>
          <w:szCs w:val="28"/>
          <w:rtl/>
        </w:rPr>
        <w:t xml:space="preserve">٢٦٢  </w:t>
      </w:r>
    </w:p>
    <w:p w14:paraId="2FC4FA1D" w14:textId="77777777" w:rsidR="00A77B3E" w:rsidRDefault="00201914">
      <w:pPr>
        <w:bidi/>
        <w:spacing w:line="360" w:lineRule="auto"/>
        <w:jc w:val="lowKashida"/>
        <w:rPr>
          <w:rFonts w:cs="Microsoft Uighur"/>
          <w:szCs w:val="28"/>
          <w:rtl/>
        </w:rPr>
      </w:pPr>
      <w:r>
        <w:rPr>
          <w:rFonts w:cs="Microsoft Uighur"/>
          <w:szCs w:val="28"/>
          <w:rtl/>
        </w:rPr>
        <w:t xml:space="preserve">الفقه  </w:t>
      </w:r>
    </w:p>
    <w:p w14:paraId="32BBE5CE" w14:textId="77777777" w:rsidR="00A77B3E" w:rsidRDefault="00201914">
      <w:pPr>
        <w:bidi/>
        <w:spacing w:line="360" w:lineRule="auto"/>
        <w:jc w:val="lowKashida"/>
        <w:rPr>
          <w:rFonts w:cs="Microsoft Uighur"/>
          <w:szCs w:val="28"/>
          <w:rtl/>
        </w:rPr>
      </w:pPr>
      <w:r>
        <w:rPr>
          <w:rFonts w:cs="Microsoft Uighur"/>
          <w:szCs w:val="28"/>
          <w:rtl/>
        </w:rPr>
        <w:t xml:space="preserve">المقارن - العددان (٤-٥) السنة الثانية ٫ ربيع - صيف ٢٠١٤ </w:t>
      </w:r>
    </w:p>
    <w:p w14:paraId="6D6BDD4F" w14:textId="77777777" w:rsidR="00A77B3E" w:rsidRDefault="0020191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5E1618DB" w14:textId="77777777" w:rsidR="00A77B3E" w:rsidRDefault="00201914">
      <w:pPr>
        <w:bidi/>
        <w:spacing w:line="360" w:lineRule="auto"/>
        <w:jc w:val="lowKashida"/>
        <w:rPr>
          <w:rFonts w:cs="Microsoft Uighur"/>
          <w:szCs w:val="28"/>
          <w:rtl/>
        </w:rPr>
      </w:pPr>
      <w:r>
        <w:rPr>
          <w:rFonts w:cs="Microsoft Uighur"/>
          <w:szCs w:val="28"/>
          <w:rtl/>
        </w:rPr>
        <w:t>حاشية مجمع الفائدة والبرهان، ص ۳۷ وغيرها مما يمكن للمتتبع العثور عليه (تجد</w:t>
      </w:r>
      <w:r>
        <w:rPr>
          <w:rFonts w:cs="Microsoft Uighur"/>
          <w:szCs w:val="28"/>
          <w:rtl/>
        </w:rPr>
        <w:t xml:space="preserve">ر الإشارة  إلى أننا نحيل إلى هذه المراجع اعتمادا على برنامج مكتبة أهل البيت في نسختها الأخيرة).  </w:t>
      </w:r>
    </w:p>
    <w:p w14:paraId="10C47ED3" w14:textId="77777777" w:rsidR="00A77B3E" w:rsidRDefault="00201914">
      <w:pPr>
        <w:bidi/>
        <w:spacing w:line="360" w:lineRule="auto"/>
        <w:jc w:val="lowKashida"/>
        <w:rPr>
          <w:rFonts w:cs="Microsoft Uighur"/>
          <w:szCs w:val="28"/>
          <w:rtl/>
        </w:rPr>
      </w:pPr>
      <w:r>
        <w:rPr>
          <w:rFonts w:cs="Microsoft Uighur"/>
          <w:szCs w:val="28"/>
          <w:rtl/>
        </w:rPr>
        <w:t xml:space="preserve">(۲۹) المحقق الحلي شرائع الإسلام ط ۲ انتشارات استقلال طهران، ١٤٠٩هـ، ج 4، ص ٩٧٦  </w:t>
      </w:r>
    </w:p>
    <w:p w14:paraId="5D422264" w14:textId="77777777" w:rsidR="00A77B3E" w:rsidRDefault="00201914">
      <w:pPr>
        <w:bidi/>
        <w:spacing w:line="360" w:lineRule="auto"/>
        <w:jc w:val="lowKashida"/>
        <w:rPr>
          <w:rFonts w:cs="Microsoft Uighur"/>
          <w:szCs w:val="28"/>
          <w:rtl/>
        </w:rPr>
      </w:pPr>
      <w:r>
        <w:rPr>
          <w:rFonts w:cs="Microsoft Uighur"/>
          <w:szCs w:val="28"/>
          <w:rtl/>
        </w:rPr>
        <w:t>(۳۰) العلامة الحلي، إرشاد الأذهان تحقیق فارس حسون ط 1 مؤسسة النشر الإسلامي، ق</w:t>
      </w:r>
      <w:r>
        <w:rPr>
          <w:rFonts w:cs="Microsoft Uighur"/>
          <w:szCs w:val="28"/>
          <w:rtl/>
        </w:rPr>
        <w:t xml:space="preserve">م  ١٤١٠ هـ ، ج ۲، ص ١٩٦؛ وانظر أيضاً، العلامة الحلي، تحرير الأحكام، تحقيق إبراهيم البهادري  مؤسسة الإمام الصادق، قم، ١٤٢٢، ج ۵، ص ٤٢٦؛ وقواعد الأحكام، ط 1 مؤسسة النشر  الإسلامي، قم، ١٤١٩هـ ، ج ۳، ص ٥٩٠ إلى غير ذلك مما لا أجد ضروة لاستعراضه.  </w:t>
      </w:r>
    </w:p>
    <w:p w14:paraId="4D2E49F1" w14:textId="77777777" w:rsidR="00A77B3E" w:rsidRDefault="00201914">
      <w:pPr>
        <w:bidi/>
        <w:spacing w:line="360" w:lineRule="auto"/>
        <w:jc w:val="lowKashida"/>
        <w:rPr>
          <w:rFonts w:cs="Microsoft Uighur"/>
          <w:szCs w:val="28"/>
          <w:rtl/>
        </w:rPr>
      </w:pPr>
      <w:r>
        <w:rPr>
          <w:rFonts w:cs="Microsoft Uighur"/>
          <w:szCs w:val="28"/>
          <w:rtl/>
        </w:rPr>
        <w:t>(۳۱) محيي الد</w:t>
      </w:r>
      <w:r>
        <w:rPr>
          <w:rFonts w:cs="Microsoft Uighur"/>
          <w:szCs w:val="28"/>
          <w:rtl/>
        </w:rPr>
        <w:t xml:space="preserve">ين النووي روضة الطالبين تحقيق عادل أحمد عبد الموجود، دار الكتب العلمية  بيروت، لا تا، ج ۷، ص ۱۸ (شافعی)  </w:t>
      </w:r>
    </w:p>
    <w:p w14:paraId="03D786CF" w14:textId="77777777" w:rsidR="00A77B3E" w:rsidRDefault="00201914">
      <w:pPr>
        <w:bidi/>
        <w:spacing w:line="360" w:lineRule="auto"/>
        <w:jc w:val="lowKashida"/>
        <w:rPr>
          <w:rFonts w:cs="Microsoft Uighur"/>
          <w:szCs w:val="28"/>
          <w:rtl/>
        </w:rPr>
      </w:pPr>
      <w:r>
        <w:rPr>
          <w:rFonts w:cs="Microsoft Uighur"/>
          <w:szCs w:val="28"/>
          <w:rtl/>
        </w:rPr>
        <w:t xml:space="preserve">(۳۲) السرخسي، المبسوط، دار المعرفة، بيروت، ١٩٨٦، ج ١٦، ص ١٤  </w:t>
      </w:r>
    </w:p>
    <w:p w14:paraId="7E5B6805" w14:textId="77777777" w:rsidR="00A77B3E" w:rsidRDefault="00201914">
      <w:pPr>
        <w:bidi/>
        <w:spacing w:line="360" w:lineRule="auto"/>
        <w:jc w:val="lowKashida"/>
        <w:rPr>
          <w:rFonts w:cs="Microsoft Uighur"/>
          <w:szCs w:val="28"/>
          <w:rtl/>
        </w:rPr>
      </w:pPr>
      <w:r>
        <w:rPr>
          <w:rFonts w:cs="Microsoft Uighur"/>
          <w:szCs w:val="28"/>
          <w:rtl/>
        </w:rPr>
        <w:t xml:space="preserve">(۳۳) دراسة مقدمة إلى مؤتمر حول نظرات الفقه الإسلامي في الطب المنعقد في إيران مشهد، وهي  منشورة في مجلة فقه أهل البيت (عليهم السلام)، العدد ۳۹، ص ۸۳  </w:t>
      </w:r>
    </w:p>
    <w:p w14:paraId="13B28A32" w14:textId="77777777" w:rsidR="00A77B3E" w:rsidRDefault="00201914">
      <w:pPr>
        <w:bidi/>
        <w:spacing w:line="360" w:lineRule="auto"/>
        <w:jc w:val="lowKashida"/>
        <w:rPr>
          <w:rFonts w:cs="Microsoft Uighur"/>
          <w:szCs w:val="28"/>
          <w:rtl/>
        </w:rPr>
      </w:pPr>
      <w:r>
        <w:rPr>
          <w:rFonts w:cs="Microsoft Uighur"/>
          <w:szCs w:val="28"/>
          <w:rtl/>
        </w:rPr>
        <w:t xml:space="preserve">(٣٤) المصدر نفسه، ص ٨٤  </w:t>
      </w:r>
    </w:p>
    <w:p w14:paraId="436C55BD" w14:textId="77777777" w:rsidR="00A77B3E" w:rsidRDefault="00201914">
      <w:pPr>
        <w:bidi/>
        <w:spacing w:line="360" w:lineRule="auto"/>
        <w:jc w:val="lowKashida"/>
        <w:rPr>
          <w:rFonts w:cs="Microsoft Uighur"/>
          <w:szCs w:val="28"/>
          <w:rtl/>
        </w:rPr>
      </w:pPr>
      <w:r>
        <w:rPr>
          <w:rFonts w:cs="Microsoft Uighur"/>
          <w:szCs w:val="28"/>
          <w:rtl/>
        </w:rPr>
        <w:lastRenderedPageBreak/>
        <w:t>(٣٥) انظر مثلا: موسى البسيط، "تيسير الموت للمريض: قتل المرحمة بين الحكم الشرعي وا</w:t>
      </w:r>
      <w:r>
        <w:rPr>
          <w:rFonts w:cs="Microsoft Uighur"/>
          <w:szCs w:val="28"/>
          <w:rtl/>
        </w:rPr>
        <w:t xml:space="preserve">لموقف  الطبي، ٢٠٠٤، دراسة منشورة على موقع الجمعية الفلسطينية الأكاديمية للشؤون الدولية القدس  على الرابط الآتي:  </w:t>
      </w:r>
    </w:p>
    <w:p w14:paraId="2E2208A1" w14:textId="77777777" w:rsidR="00A77B3E" w:rsidRDefault="00201914">
      <w:pPr>
        <w:bidi/>
        <w:spacing w:line="360" w:lineRule="auto"/>
        <w:jc w:val="lowKashida"/>
        <w:rPr>
          <w:rFonts w:cs="Microsoft Uighur"/>
          <w:szCs w:val="28"/>
          <w:rtl/>
        </w:rPr>
      </w:pPr>
      <w:r>
        <w:rPr>
          <w:rFonts w:cs="Microsoft Uighur"/>
          <w:szCs w:val="28"/>
        </w:rPr>
        <w:t>http</w:t>
      </w:r>
      <w:r>
        <w:rPr>
          <w:rFonts w:cs="Microsoft Uighur"/>
          <w:szCs w:val="28"/>
          <w:rtl/>
        </w:rPr>
        <w:t>:</w:t>
      </w:r>
      <w:r>
        <w:rPr>
          <w:rFonts w:cs="Microsoft Uighur"/>
          <w:szCs w:val="28"/>
        </w:rPr>
        <w:t>٫٫www.passia.org٫meetings٫2004٫Mousa-Al-Basit-2004.htm</w:t>
      </w:r>
      <w:r>
        <w:rPr>
          <w:rFonts w:cs="Microsoft Uighur"/>
          <w:szCs w:val="28"/>
          <w:rtl/>
        </w:rPr>
        <w:t xml:space="preserve">  </w:t>
      </w:r>
    </w:p>
    <w:p w14:paraId="6AB1E193" w14:textId="77777777" w:rsidR="00A77B3E" w:rsidRDefault="00201914">
      <w:pPr>
        <w:bidi/>
        <w:spacing w:line="360" w:lineRule="auto"/>
        <w:jc w:val="lowKashida"/>
        <w:rPr>
          <w:rFonts w:cs="Microsoft Uighur"/>
          <w:szCs w:val="28"/>
          <w:rtl/>
        </w:rPr>
      </w:pPr>
      <w:r>
        <w:rPr>
          <w:rFonts w:cs="Microsoft Uighur"/>
          <w:szCs w:val="28"/>
          <w:rtl/>
        </w:rPr>
        <w:t xml:space="preserve">وانظر أيضاً: محمد الهواري قتل المرحمة بين القوانين الوضعية والفقه الإسلامي، ستوكهولم،  ٢٠٠٣. والدراسة منشورة على موقع المجلس على الرابط الآتي، وقد حملتها عن الموقع بتاريخ:  ١٨-١-٢٠١٤  </w:t>
      </w:r>
    </w:p>
    <w:p w14:paraId="4527C37B" w14:textId="77777777" w:rsidR="00A77B3E" w:rsidRDefault="00201914">
      <w:pPr>
        <w:bidi/>
        <w:spacing w:line="360" w:lineRule="auto"/>
        <w:jc w:val="lowKashida"/>
        <w:rPr>
          <w:rFonts w:cs="Microsoft Uighur"/>
          <w:szCs w:val="28"/>
          <w:rtl/>
        </w:rPr>
      </w:pPr>
      <w:r>
        <w:rPr>
          <w:rFonts w:cs="Microsoft Uighur"/>
          <w:szCs w:val="28"/>
        </w:rPr>
        <w:t>http</w:t>
      </w:r>
      <w:r>
        <w:rPr>
          <w:rFonts w:cs="Microsoft Uighur"/>
          <w:szCs w:val="28"/>
          <w:rtl/>
        </w:rPr>
        <w:t>:</w:t>
      </w:r>
      <w:r>
        <w:rPr>
          <w:rFonts w:cs="Microsoft Uighur"/>
          <w:szCs w:val="28"/>
        </w:rPr>
        <w:t>٫٫</w:t>
      </w:r>
      <w:proofErr w:type="spellStart"/>
      <w:r>
        <w:rPr>
          <w:rFonts w:cs="Microsoft Uighur"/>
          <w:szCs w:val="28"/>
        </w:rPr>
        <w:t>www.e-cfr.org٫ar٫index.php?ArticleID</w:t>
      </w:r>
      <w:proofErr w:type="spellEnd"/>
      <w:r>
        <w:rPr>
          <w:rFonts w:cs="Microsoft Uighur"/>
          <w:szCs w:val="28"/>
        </w:rPr>
        <w:t>=378</w:t>
      </w:r>
      <w:r>
        <w:rPr>
          <w:rFonts w:cs="Microsoft Uighur"/>
          <w:szCs w:val="28"/>
          <w:rtl/>
        </w:rPr>
        <w:t xml:space="preserve">  </w:t>
      </w:r>
    </w:p>
    <w:p w14:paraId="218321EC" w14:textId="77777777" w:rsidR="00A77B3E" w:rsidRDefault="00201914">
      <w:pPr>
        <w:bidi/>
        <w:spacing w:line="360" w:lineRule="auto"/>
        <w:jc w:val="lowKashida"/>
        <w:rPr>
          <w:rFonts w:cs="Microsoft Uighur"/>
          <w:szCs w:val="28"/>
          <w:rtl/>
        </w:rPr>
      </w:pPr>
      <w:r>
        <w:rPr>
          <w:rFonts w:cs="Microsoft Uighur"/>
          <w:szCs w:val="28"/>
          <w:rtl/>
        </w:rPr>
        <w:t xml:space="preserve">وانظر كذلك: محمد علي </w:t>
      </w:r>
      <w:r>
        <w:rPr>
          <w:rFonts w:cs="Microsoft Uighur"/>
          <w:szCs w:val="28"/>
          <w:rtl/>
        </w:rPr>
        <w:t xml:space="preserve">البار، أحكام التداوي والحالات الميؤوس منها وقضية الموت الرحيم  دار المنارة، جدة، ۱۹۹۵، ص ٦٨ فما بعدها.  </w:t>
      </w:r>
    </w:p>
    <w:p w14:paraId="3EB92537" w14:textId="77777777" w:rsidR="00A77B3E" w:rsidRDefault="00201914">
      <w:pPr>
        <w:bidi/>
        <w:spacing w:line="360" w:lineRule="auto"/>
        <w:jc w:val="lowKashida"/>
        <w:rPr>
          <w:rFonts w:cs="Microsoft Uighur"/>
          <w:szCs w:val="28"/>
          <w:rtl/>
        </w:rPr>
      </w:pPr>
      <w:r>
        <w:rPr>
          <w:rFonts w:cs="Microsoft Uighur"/>
          <w:szCs w:val="28"/>
          <w:rtl/>
        </w:rPr>
        <w:t xml:space="preserve">(٣٦) سورة البقرة: الآية ١٧٩.  </w:t>
      </w:r>
    </w:p>
    <w:p w14:paraId="5FD57796" w14:textId="77777777" w:rsidR="00A77B3E" w:rsidRDefault="00201914">
      <w:pPr>
        <w:bidi/>
        <w:spacing w:line="360" w:lineRule="auto"/>
        <w:jc w:val="lowKashida"/>
        <w:rPr>
          <w:rFonts w:cs="Microsoft Uighur"/>
          <w:szCs w:val="28"/>
          <w:rtl/>
        </w:rPr>
      </w:pPr>
      <w:r>
        <w:rPr>
          <w:rFonts w:cs="Microsoft Uighur"/>
          <w:szCs w:val="28"/>
          <w:rtl/>
        </w:rPr>
        <w:t xml:space="preserve">(۳۷) سورة الإسراء: الآية ٣٣  </w:t>
      </w:r>
    </w:p>
    <w:p w14:paraId="1B598FB5" w14:textId="77777777" w:rsidR="00A77B3E" w:rsidRDefault="00201914">
      <w:pPr>
        <w:bidi/>
        <w:spacing w:line="360" w:lineRule="auto"/>
        <w:jc w:val="lowKashida"/>
        <w:rPr>
          <w:rFonts w:cs="Microsoft Uighur"/>
          <w:szCs w:val="28"/>
          <w:rtl/>
        </w:rPr>
      </w:pPr>
      <w:r>
        <w:rPr>
          <w:rFonts w:cs="Microsoft Uighur"/>
          <w:szCs w:val="28"/>
          <w:rtl/>
        </w:rPr>
        <w:t xml:space="preserve">(۳۸) يلاحظ أن عددا من الفقهاء يرجحون جانب النهي حتى لو كان محتملاً، انظر مثلاً: السيد علي </w:t>
      </w:r>
      <w:r>
        <w:rPr>
          <w:rFonts w:cs="Microsoft Uighur"/>
          <w:szCs w:val="28"/>
          <w:rtl/>
        </w:rPr>
        <w:t xml:space="preserve"> الطباطبائي، رياض المسائل، مؤسسة النشر الإسلامي، قم، ١٤١٢هـ، ج ۲، ص ١٨٣؛  </w:t>
      </w:r>
    </w:p>
    <w:p w14:paraId="55EAE0E7" w14:textId="77777777" w:rsidR="00A77B3E" w:rsidRDefault="00201914">
      <w:pPr>
        <w:bidi/>
        <w:spacing w:line="360" w:lineRule="auto"/>
        <w:jc w:val="lowKashida"/>
        <w:rPr>
          <w:rFonts w:cs="Microsoft Uighur"/>
          <w:szCs w:val="28"/>
          <w:rtl/>
        </w:rPr>
      </w:pPr>
      <w:r>
        <w:rPr>
          <w:rFonts w:cs="Microsoft Uighur"/>
          <w:szCs w:val="28"/>
          <w:rtl/>
        </w:rPr>
        <w:t xml:space="preserve">(۳۹) الشيخ مرتضى الأنصاري، مطارح الأنظار، طبعة حجرية، ص ۱۵۲، من برنامج مكتبة أهل البيت  </w:t>
      </w:r>
    </w:p>
    <w:p w14:paraId="2EC2E911" w14:textId="77777777" w:rsidR="00A77B3E" w:rsidRDefault="00201914">
      <w:pPr>
        <w:bidi/>
        <w:spacing w:line="360" w:lineRule="auto"/>
        <w:jc w:val="lowKashida"/>
        <w:rPr>
          <w:rFonts w:cs="Microsoft Uighur"/>
          <w:szCs w:val="28"/>
          <w:rtl/>
        </w:rPr>
      </w:pPr>
      <w:r>
        <w:rPr>
          <w:rFonts w:cs="Microsoft Uighur"/>
          <w:szCs w:val="28"/>
          <w:rtl/>
        </w:rPr>
        <w:t xml:space="preserve">الإصدار الثاني.  </w:t>
      </w:r>
    </w:p>
    <w:p w14:paraId="06740147" w14:textId="77777777" w:rsidR="00A77B3E" w:rsidRDefault="00201914">
      <w:pPr>
        <w:bidi/>
        <w:spacing w:line="360" w:lineRule="auto"/>
        <w:jc w:val="lowKashida"/>
        <w:rPr>
          <w:rFonts w:cs="Microsoft Uighur"/>
          <w:szCs w:val="28"/>
          <w:rtl/>
        </w:rPr>
      </w:pPr>
      <w:r>
        <w:rPr>
          <w:rFonts w:cs="Microsoft Uighur"/>
          <w:szCs w:val="28"/>
          <w:rtl/>
        </w:rPr>
        <w:t xml:space="preserve">( ٤٠) السيد محمد باقر الصدر، دروس في علم الأصول، ط۲، دار الكتاب اللبناني، </w:t>
      </w:r>
      <w:r>
        <w:rPr>
          <w:rFonts w:cs="Microsoft Uighur"/>
          <w:szCs w:val="28"/>
          <w:rtl/>
        </w:rPr>
        <w:t xml:space="preserve">بيروت، ج ۱، ص ۱۵۸.  </w:t>
      </w:r>
    </w:p>
    <w:p w14:paraId="2B61BAF0" w14:textId="77777777" w:rsidR="00A77B3E" w:rsidRDefault="00201914">
      <w:pPr>
        <w:bidi/>
        <w:spacing w:line="360" w:lineRule="auto"/>
        <w:jc w:val="lowKashida"/>
        <w:rPr>
          <w:rFonts w:cs="Microsoft Uighur"/>
          <w:szCs w:val="28"/>
          <w:rtl/>
        </w:rPr>
      </w:pPr>
      <w:r>
        <w:rPr>
          <w:rFonts w:cs="Microsoft Uighur"/>
          <w:szCs w:val="28"/>
          <w:rtl/>
        </w:rPr>
        <w:t xml:space="preserve">٢٦٣ </w:t>
      </w:r>
    </w:p>
    <w:p w14:paraId="5F4D613A" w14:textId="77777777" w:rsidR="00A77B3E" w:rsidRDefault="00201914">
      <w:pPr>
        <w:bidi/>
        <w:spacing w:line="360" w:lineRule="auto"/>
        <w:jc w:val="lowKashida"/>
        <w:rPr>
          <w:rFonts w:cs="Microsoft Uighur"/>
          <w:szCs w:val="28"/>
          <w:rtl/>
        </w:rPr>
      </w:pPr>
      <w:r>
        <w:rPr>
          <w:rFonts w:cs="Microsoft Uighur"/>
          <w:szCs w:val="28"/>
          <w:rtl/>
        </w:rPr>
        <w:t xml:space="preserve">دراسات مقارنة  </w:t>
      </w:r>
    </w:p>
    <w:p w14:paraId="3697D852" w14:textId="77777777" w:rsidR="00A77B3E" w:rsidRDefault="00201914">
      <w:pPr>
        <w:bidi/>
        <w:spacing w:line="360" w:lineRule="auto"/>
        <w:jc w:val="lowKashida"/>
        <w:rPr>
          <w:rFonts w:cs="Microsoft Uighur"/>
          <w:szCs w:val="28"/>
          <w:rtl/>
        </w:rPr>
      </w:pPr>
      <w:r>
        <w:rPr>
          <w:rFonts w:cs="Microsoft Uighur"/>
          <w:szCs w:val="28"/>
          <w:rtl/>
        </w:rPr>
        <w:t xml:space="preserve">(٤١) الشيخ مرتض الأنصاري، فرائد الأصول، ط1، مجمع الفكر الإسلامي، قم، ١٤١٩هـ، ج ١، ص  ۳۹  </w:t>
      </w:r>
    </w:p>
    <w:p w14:paraId="7A528AFE" w14:textId="77777777" w:rsidR="00A77B3E" w:rsidRDefault="00201914">
      <w:pPr>
        <w:bidi/>
        <w:spacing w:line="360" w:lineRule="auto"/>
        <w:jc w:val="lowKashida"/>
        <w:rPr>
          <w:rFonts w:cs="Microsoft Uighur"/>
          <w:szCs w:val="28"/>
          <w:rtl/>
        </w:rPr>
      </w:pPr>
      <w:r>
        <w:rPr>
          <w:rFonts w:cs="Microsoft Uighur"/>
          <w:szCs w:val="28"/>
          <w:rtl/>
        </w:rPr>
        <w:t xml:space="preserve">(٤٢) انظر: الشيخ محمد حسين النائني، منية الطالب، تقرير الخونساري، مؤسسة النشر الإسلامي، قم.  ١٤١٨هـ، ج ١، ص ۱۰۷؛ عثمان جمعة </w:t>
      </w:r>
      <w:r>
        <w:rPr>
          <w:rFonts w:cs="Microsoft Uighur"/>
          <w:szCs w:val="28"/>
          <w:rtl/>
        </w:rPr>
        <w:t xml:space="preserve">ضميرية، الحق في الشريعة الإسلامية"، مجلة البحوث  الإسلامية، جزء ٤٠، ص ٣٦٥.  </w:t>
      </w:r>
    </w:p>
    <w:p w14:paraId="4BAB1DDF" w14:textId="77777777" w:rsidR="00A77B3E" w:rsidRDefault="00201914">
      <w:pPr>
        <w:bidi/>
        <w:spacing w:line="360" w:lineRule="auto"/>
        <w:jc w:val="lowKashida"/>
        <w:rPr>
          <w:rFonts w:cs="Microsoft Uighur"/>
          <w:szCs w:val="28"/>
          <w:rtl/>
        </w:rPr>
      </w:pPr>
      <w:r>
        <w:rPr>
          <w:rFonts w:cs="Microsoft Uighur"/>
          <w:szCs w:val="28"/>
          <w:rtl/>
        </w:rPr>
        <w:t>(٤٣) الحر العاملي، وسائل الشيعة إلى تحصيل مسائل الشريعة، ط ۲ مؤسسة آل البيت (ع) لإحياء  التراث، قم، ١٤١٤هـ، ج ۲، ص ٤٤٩؛ وانظر: أحمد بن حنبل، مسند الإمام أحمد بن حنبل، دار  صادر، ب</w:t>
      </w:r>
      <w:r>
        <w:rPr>
          <w:rFonts w:cs="Microsoft Uighur"/>
          <w:szCs w:val="28"/>
          <w:rtl/>
        </w:rPr>
        <w:t xml:space="preserve">یروت، ج ۱، ص ۳۳۹  </w:t>
      </w:r>
    </w:p>
    <w:p w14:paraId="7EA5C78E" w14:textId="77777777" w:rsidR="00A77B3E" w:rsidRDefault="00201914">
      <w:pPr>
        <w:bidi/>
        <w:spacing w:line="360" w:lineRule="auto"/>
        <w:jc w:val="lowKashida"/>
        <w:rPr>
          <w:rFonts w:cs="Microsoft Uighur"/>
          <w:szCs w:val="28"/>
          <w:rtl/>
        </w:rPr>
      </w:pPr>
      <w:r>
        <w:rPr>
          <w:rFonts w:cs="Microsoft Uighur"/>
          <w:szCs w:val="28"/>
          <w:rtl/>
        </w:rPr>
        <w:t>(٤٤) محمد علي الأنصاري، مصدر سابق، ص ۸۵ موسى البسيط، مصدر سابق؛ محمد علي  البار، مصدر سابق، ص ۹۳ - ۱۱۰؛ حلمي عبد الرازق الحديدي، قضية القتل الرحيم"، دراسة  مقدمة إلى المؤتمر العام الثاني والعشرين منشورة على موقع الفقه الإسلامي  (</w:t>
      </w:r>
      <w:r>
        <w:rPr>
          <w:rFonts w:cs="Microsoft Uighur"/>
          <w:szCs w:val="28"/>
        </w:rPr>
        <w:t>http</w:t>
      </w:r>
      <w:r>
        <w:rPr>
          <w:rFonts w:cs="Microsoft Uighur"/>
          <w:szCs w:val="28"/>
          <w:rtl/>
        </w:rPr>
        <w:t>:</w:t>
      </w:r>
      <w:r>
        <w:rPr>
          <w:rFonts w:cs="Microsoft Uighur"/>
          <w:szCs w:val="28"/>
        </w:rPr>
        <w:t>٫٫w</w:t>
      </w:r>
      <w:r>
        <w:rPr>
          <w:rFonts w:cs="Microsoft Uighur"/>
          <w:szCs w:val="28"/>
        </w:rPr>
        <w:t>ww.islamfeqh.com</w:t>
      </w:r>
      <w:r>
        <w:rPr>
          <w:rFonts w:cs="Microsoft Uighur"/>
          <w:szCs w:val="28"/>
          <w:rtl/>
        </w:rPr>
        <w:t xml:space="preserve">)  </w:t>
      </w:r>
    </w:p>
    <w:p w14:paraId="38E580BB" w14:textId="77777777" w:rsidR="00A77B3E" w:rsidRDefault="00201914">
      <w:pPr>
        <w:bidi/>
        <w:spacing w:line="360" w:lineRule="auto"/>
        <w:jc w:val="lowKashida"/>
        <w:rPr>
          <w:rFonts w:cs="Microsoft Uighur"/>
          <w:szCs w:val="28"/>
          <w:rtl/>
        </w:rPr>
      </w:pPr>
      <w:r>
        <w:rPr>
          <w:rFonts w:cs="Microsoft Uighur"/>
          <w:szCs w:val="28"/>
          <w:rtl/>
        </w:rPr>
        <w:t xml:space="preserve">(٤٥) ميرزا حسين النوري الطبرسي، مستدرك الوسائل، ط ۲، مؤسسة آل البیت، بیروت، ۱۹۸۸، ج ۱۸،  ص ٢١٦؛ الشوكاني، نيل الأوطار، دار الجيل، بيروت، ۱۹۷۳، ج ۷، ص ۲۰۲  </w:t>
      </w:r>
    </w:p>
    <w:p w14:paraId="5788605F" w14:textId="77777777" w:rsidR="00A77B3E" w:rsidRDefault="00201914">
      <w:pPr>
        <w:bidi/>
        <w:spacing w:line="360" w:lineRule="auto"/>
        <w:jc w:val="lowKashida"/>
        <w:rPr>
          <w:rFonts w:cs="Microsoft Uighur"/>
          <w:szCs w:val="28"/>
          <w:rtl/>
        </w:rPr>
      </w:pPr>
      <w:r>
        <w:rPr>
          <w:rFonts w:cs="Microsoft Uighur"/>
          <w:szCs w:val="28"/>
          <w:rtl/>
        </w:rPr>
        <w:t>(٤٦) الشيخ حسن الجواهري، بحوث في الفقه المعاصر، ط1، دار الذخائر، بیروت، ج ۲، ص ۲</w:t>
      </w:r>
      <w:r>
        <w:rPr>
          <w:rFonts w:cs="Microsoft Uighur"/>
          <w:szCs w:val="28"/>
          <w:rtl/>
        </w:rPr>
        <w:t xml:space="preserve">۳۸  الشيخ جعفر كاشف الغطاء، كشف الغطاء عن مبهمات الشريعة الغراء، تحقیق عباس تبریزیان  وآخرين، طا، مرکز انتشارات دفتر تبلیغات، قم، ١٤٢٢هـ، ج ۲، ص ٢٤٧؛ وغيرهما </w:t>
      </w:r>
      <w:r>
        <w:rPr>
          <w:rFonts w:cs="Microsoft Uighur"/>
          <w:szCs w:val="28"/>
          <w:rtl/>
        </w:rPr>
        <w:lastRenderedPageBreak/>
        <w:t>وتجدر  الإشارة هنا إلى أن وجوب التداوي هنا ليس بالضرورة أن يكون عاما بل ربما يكون مقيدا بحالة  الخ</w:t>
      </w:r>
      <w:r>
        <w:rPr>
          <w:rFonts w:cs="Microsoft Uighur"/>
          <w:szCs w:val="28"/>
          <w:rtl/>
        </w:rPr>
        <w:t xml:space="preserve">وف على النفس من الموت أو الإعاقة الشديدة، وإلا إذا استطاع الإنسان تحمل الألم غير  المميت أو المعيق فقد لا يكون التداوي واجبا.  </w:t>
      </w:r>
    </w:p>
    <w:p w14:paraId="25E5FF92" w14:textId="77777777" w:rsidR="00A77B3E" w:rsidRDefault="00201914">
      <w:pPr>
        <w:bidi/>
        <w:spacing w:line="360" w:lineRule="auto"/>
        <w:jc w:val="lowKashida"/>
        <w:rPr>
          <w:rFonts w:cs="Microsoft Uighur"/>
          <w:szCs w:val="28"/>
          <w:rtl/>
        </w:rPr>
      </w:pPr>
      <w:r>
        <w:rPr>
          <w:rFonts w:cs="Microsoft Uighur"/>
          <w:szCs w:val="28"/>
          <w:rtl/>
        </w:rPr>
        <w:t xml:space="preserve">(٤٧) محمد علي البار، مصدر سابق، ص ۲۰؛ الشرواني والعبادي، حواشي الشرواني والعبادي، دار  إحياء التراث العربي، بيروت، ج ۳ . ج ۳، ص </w:t>
      </w:r>
      <w:r>
        <w:rPr>
          <w:rFonts w:cs="Microsoft Uighur"/>
          <w:szCs w:val="28"/>
          <w:rtl/>
        </w:rPr>
        <w:t xml:space="preserve">۱۸۳  </w:t>
      </w:r>
    </w:p>
    <w:p w14:paraId="038A3C77" w14:textId="77777777" w:rsidR="00A77B3E" w:rsidRDefault="00201914">
      <w:pPr>
        <w:bidi/>
        <w:spacing w:line="360" w:lineRule="auto"/>
        <w:jc w:val="lowKashida"/>
        <w:rPr>
          <w:rFonts w:cs="Microsoft Uighur"/>
          <w:szCs w:val="28"/>
          <w:rtl/>
        </w:rPr>
      </w:pPr>
      <w:r>
        <w:rPr>
          <w:rFonts w:cs="Microsoft Uighur"/>
          <w:szCs w:val="28"/>
          <w:rtl/>
        </w:rPr>
        <w:t xml:space="preserve">(٤٨) إشارة إلى قوله تعالى: ﴿وَلَا تُلْقُواْ بِأَيْدِيكُمْ إِلَى التَّهْلُكَة) (سورة البقرة: الآية (١٩٥).  </w:t>
      </w:r>
    </w:p>
    <w:p w14:paraId="693E4C16" w14:textId="77777777" w:rsidR="00A77B3E" w:rsidRDefault="00201914">
      <w:pPr>
        <w:bidi/>
        <w:spacing w:line="360" w:lineRule="auto"/>
        <w:jc w:val="lowKashida"/>
        <w:rPr>
          <w:rFonts w:cs="Microsoft Uighur"/>
          <w:szCs w:val="28"/>
          <w:rtl/>
        </w:rPr>
      </w:pPr>
      <w:r>
        <w:rPr>
          <w:rFonts w:cs="Microsoft Uighur"/>
          <w:szCs w:val="28"/>
          <w:rtl/>
        </w:rPr>
        <w:t xml:space="preserve">(٤٩) الشيخ حسن الجواهري، مصدر سابق، ص ۲۳۸  </w:t>
      </w:r>
    </w:p>
    <w:p w14:paraId="15F9E44D" w14:textId="77777777" w:rsidR="00A77B3E" w:rsidRDefault="00201914">
      <w:pPr>
        <w:bidi/>
        <w:spacing w:line="360" w:lineRule="auto"/>
        <w:jc w:val="lowKashida"/>
        <w:rPr>
          <w:rFonts w:cs="Microsoft Uighur"/>
          <w:szCs w:val="28"/>
          <w:rtl/>
        </w:rPr>
      </w:pPr>
      <w:r>
        <w:rPr>
          <w:rFonts w:cs="Microsoft Uighur"/>
          <w:szCs w:val="28"/>
          <w:rtl/>
        </w:rPr>
        <w:t xml:space="preserve">(٥٠) حسن الجواهري، مصدر سابق، ص ٣٨٦.  </w:t>
      </w:r>
    </w:p>
    <w:p w14:paraId="2EB81E90" w14:textId="77777777" w:rsidR="00A77B3E" w:rsidRDefault="00201914">
      <w:pPr>
        <w:bidi/>
        <w:spacing w:line="360" w:lineRule="auto"/>
        <w:jc w:val="lowKashida"/>
        <w:rPr>
          <w:rFonts w:cs="Microsoft Uighur"/>
          <w:szCs w:val="28"/>
          <w:rtl/>
        </w:rPr>
      </w:pPr>
      <w:r>
        <w:rPr>
          <w:rFonts w:cs="Microsoft Uighur"/>
          <w:szCs w:val="28"/>
          <w:rtl/>
        </w:rPr>
        <w:t xml:space="preserve">(۵۱) انظر: محمد علي البار، مصدر سابق، ص ٢٥.  </w:t>
      </w:r>
    </w:p>
    <w:p w14:paraId="687943D1" w14:textId="77777777" w:rsidR="00A77B3E" w:rsidRDefault="00201914">
      <w:pPr>
        <w:bidi/>
        <w:spacing w:line="360" w:lineRule="auto"/>
        <w:jc w:val="lowKashida"/>
        <w:rPr>
          <w:rFonts w:cs="Microsoft Uighur"/>
          <w:szCs w:val="28"/>
          <w:rtl/>
        </w:rPr>
      </w:pPr>
      <w:r>
        <w:rPr>
          <w:rFonts w:cs="Microsoft Uighur"/>
          <w:szCs w:val="28"/>
          <w:rtl/>
        </w:rPr>
        <w:t>(٥٢) انظر: الم</w:t>
      </w:r>
      <w:r>
        <w:rPr>
          <w:rFonts w:cs="Microsoft Uighur"/>
          <w:szCs w:val="28"/>
          <w:rtl/>
        </w:rPr>
        <w:t xml:space="preserve">صدر نفسه، ص ۳۷؛ يحيى بن شرف النووي، المجموع، دار الفكر، بيروت، ج ۵، ص ١٠٦.  </w:t>
      </w:r>
    </w:p>
    <w:p w14:paraId="0F2B8A09" w14:textId="77777777" w:rsidR="00A77B3E" w:rsidRDefault="00201914">
      <w:pPr>
        <w:bidi/>
        <w:spacing w:line="360" w:lineRule="auto"/>
        <w:jc w:val="lowKashida"/>
        <w:rPr>
          <w:rFonts w:cs="Microsoft Uighur"/>
          <w:szCs w:val="28"/>
          <w:rtl/>
        </w:rPr>
      </w:pPr>
      <w:r>
        <w:rPr>
          <w:rFonts w:cs="Microsoft Uighur"/>
          <w:szCs w:val="28"/>
          <w:rtl/>
        </w:rPr>
        <w:t xml:space="preserve">(٥٣) تفريغ نصي منشور على موقعه على الإنترنت على الرابط الآتي:  </w:t>
      </w:r>
    </w:p>
    <w:p w14:paraId="145B3E55" w14:textId="77777777" w:rsidR="00A77B3E" w:rsidRDefault="00201914">
      <w:pPr>
        <w:bidi/>
        <w:spacing w:line="360" w:lineRule="auto"/>
        <w:jc w:val="lowKashida"/>
        <w:rPr>
          <w:rFonts w:cs="Microsoft Uighur"/>
          <w:szCs w:val="28"/>
          <w:rtl/>
        </w:rPr>
      </w:pPr>
      <w:r>
        <w:rPr>
          <w:rFonts w:cs="Microsoft Uighur"/>
          <w:szCs w:val="28"/>
        </w:rPr>
        <w:t>http</w:t>
      </w:r>
      <w:r>
        <w:rPr>
          <w:rFonts w:cs="Microsoft Uighur"/>
          <w:szCs w:val="28"/>
          <w:rtl/>
        </w:rPr>
        <w:t>:</w:t>
      </w:r>
      <w:r>
        <w:rPr>
          <w:rFonts w:cs="Microsoft Uighur"/>
          <w:szCs w:val="28"/>
        </w:rPr>
        <w:t>٫٫www.qaradawi.net٫2010-02-23-09-38-15٫7٫4743-2009-12-14-04-20-41.html</w:t>
      </w:r>
      <w:r>
        <w:rPr>
          <w:rFonts w:cs="Microsoft Uighur"/>
          <w:szCs w:val="28"/>
          <w:rtl/>
        </w:rPr>
        <w:t xml:space="preserve">  والموقف نفسه منشور في أحد تقارير المجلس الأوروبي للإفتاء وقد اقتبسنا منه سابقاً.  </w:t>
      </w:r>
    </w:p>
    <w:p w14:paraId="0B730C2A" w14:textId="77777777" w:rsidR="00A77B3E" w:rsidRDefault="00201914">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57A64D18" w14:textId="77777777" w:rsidR="00A77B3E" w:rsidRDefault="00201914">
      <w:pPr>
        <w:bidi/>
        <w:spacing w:line="360" w:lineRule="auto"/>
        <w:jc w:val="lowKashida"/>
        <w:rPr>
          <w:rFonts w:cs="Microsoft Uighur"/>
          <w:szCs w:val="28"/>
          <w:rtl/>
        </w:rPr>
      </w:pPr>
      <w:r>
        <w:rPr>
          <w:rFonts w:cs="Microsoft Uighur"/>
          <w:szCs w:val="28"/>
          <w:rtl/>
        </w:rPr>
        <w:t xml:space="preserve">الفقه المقارن  </w:t>
      </w:r>
    </w:p>
    <w:p w14:paraId="21E88782" w14:textId="77777777" w:rsidR="00A77B3E" w:rsidRDefault="00201914">
      <w:pPr>
        <w:bidi/>
        <w:spacing w:line="360" w:lineRule="auto"/>
        <w:jc w:val="lowKashida"/>
        <w:rPr>
          <w:rFonts w:cs="Microsoft Uighur"/>
          <w:szCs w:val="28"/>
          <w:rtl/>
        </w:rPr>
      </w:pPr>
      <w:r>
        <w:rPr>
          <w:rFonts w:cs="Microsoft Uighur"/>
          <w:szCs w:val="28"/>
          <w:rtl/>
        </w:rPr>
        <w:t xml:space="preserve">٢٦٤ </w:t>
      </w:r>
    </w:p>
    <w:p w14:paraId="70A34E61"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01914"/>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CE92D"/>
  <w15:docId w15:val="{52AD2AC9-D29C-46B6-9955-8CEA9E5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5550</Words>
  <Characters>31637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2025-07-20T10:37:00Z</dcterms:created>
  <dcterms:modified xsi:type="dcterms:W3CDTF">2025-07-20T10:37:00Z</dcterms:modified>
</cp:coreProperties>
</file>